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0D4" w:rsidRDefault="001250D4" w:rsidP="001250D4">
      <w:pPr>
        <w:pStyle w:val="Pargrafo"/>
        <w:spacing w:line="360" w:lineRule="auto"/>
        <w:ind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CAPACIDADE AERÓBICA, ATIVIDADE FÍSICA E DOR EM ADULTOS</w:t>
      </w:r>
      <w:r w:rsidR="00543C4C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VÍTIMAS DE QUEIMADURAS MODERADAS A GRAVES  APÓS ALTA HOSPITALAR</w:t>
      </w:r>
    </w:p>
    <w:p w:rsidR="001250D4" w:rsidRDefault="001250D4" w:rsidP="001250D4">
      <w:pPr>
        <w:pStyle w:val="Pargrafo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1250D4" w:rsidRDefault="001250D4" w:rsidP="001250D4">
      <w:pPr>
        <w:pStyle w:val="Pargrafo"/>
        <w:spacing w:line="360" w:lineRule="auto"/>
        <w:ind w:firstLine="0"/>
        <w:jc w:val="center"/>
        <w:rPr>
          <w:rFonts w:ascii="Times New Roman" w:hAnsi="Times New Roman"/>
          <w:bCs/>
          <w:i/>
          <w:iCs/>
          <w:lang w:val="en-US"/>
        </w:rPr>
      </w:pPr>
      <w:r>
        <w:rPr>
          <w:rFonts w:ascii="Times New Roman" w:hAnsi="Times New Roman"/>
          <w:bCs/>
          <w:i/>
          <w:iCs/>
          <w:lang w:val="en-US"/>
        </w:rPr>
        <w:t xml:space="preserve">Capacity aerobics, physical activity and pain in adult victims of burns </w:t>
      </w:r>
    </w:p>
    <w:p w:rsidR="001250D4" w:rsidRDefault="001250D4" w:rsidP="001250D4">
      <w:pPr>
        <w:pStyle w:val="Pargrafo"/>
        <w:spacing w:line="360" w:lineRule="auto"/>
        <w:ind w:firstLine="0"/>
        <w:jc w:val="center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bCs/>
          <w:i/>
          <w:iCs/>
        </w:rPr>
        <w:t>moderate to severe after discharge</w:t>
      </w:r>
    </w:p>
    <w:p w:rsidR="001250D4" w:rsidRDefault="001250D4" w:rsidP="001250D4">
      <w:pPr>
        <w:spacing w:after="360"/>
        <w:jc w:val="center"/>
        <w:rPr>
          <w:rFonts w:ascii="Arial" w:hAnsi="Arial" w:cs="Arial"/>
          <w:b/>
          <w:bCs/>
        </w:rPr>
      </w:pPr>
    </w:p>
    <w:p w:rsidR="001250D4" w:rsidRDefault="001250D4" w:rsidP="001250D4">
      <w:pPr>
        <w:spacing w:after="360"/>
        <w:jc w:val="center"/>
        <w:rPr>
          <w:rFonts w:ascii="Arial" w:hAnsi="Arial" w:cs="Arial"/>
          <w:b/>
          <w:bCs/>
        </w:rPr>
      </w:pPr>
    </w:p>
    <w:p w:rsidR="001250D4" w:rsidRDefault="001250D4" w:rsidP="001250D4">
      <w:pPr>
        <w:pStyle w:val="SemEspaamento"/>
        <w:jc w:val="both"/>
      </w:pPr>
    </w:p>
    <w:p w:rsidR="001250D4" w:rsidRDefault="001250D4" w:rsidP="001250D4">
      <w:pPr>
        <w:pStyle w:val="SemEspaamento"/>
        <w:jc w:val="both"/>
      </w:pPr>
      <w:r>
        <w:rPr>
          <w:b/>
        </w:rPr>
        <w:t xml:space="preserve">Título resumido: </w:t>
      </w:r>
      <w:r>
        <w:t>Capacidade aeróbica e dor após queimaduras</w:t>
      </w:r>
    </w:p>
    <w:p w:rsidR="001250D4" w:rsidRDefault="001250D4" w:rsidP="001250D4">
      <w:pPr>
        <w:spacing w:after="360"/>
        <w:jc w:val="center"/>
        <w:rPr>
          <w:b/>
          <w:bCs/>
        </w:rPr>
      </w:pPr>
    </w:p>
    <w:p w:rsidR="001250D4" w:rsidRDefault="001250D4" w:rsidP="001250D4">
      <w:pPr>
        <w:spacing w:after="360"/>
        <w:jc w:val="center"/>
        <w:rPr>
          <w:b/>
          <w:bCs/>
        </w:rPr>
      </w:pPr>
    </w:p>
    <w:p w:rsidR="001250D4" w:rsidRDefault="001250D4" w:rsidP="001250D4">
      <w:pPr>
        <w:spacing w:after="360"/>
        <w:jc w:val="both"/>
        <w:rPr>
          <w:b/>
          <w:bCs/>
        </w:rPr>
      </w:pPr>
      <w:r>
        <w:rPr>
          <w:b/>
          <w:bCs/>
        </w:rPr>
        <w:t>Autores:</w:t>
      </w:r>
    </w:p>
    <w:p w:rsidR="001250D4" w:rsidRDefault="001250D4" w:rsidP="001250D4">
      <w:pPr>
        <w:autoSpaceDE w:val="0"/>
        <w:autoSpaceDN w:val="0"/>
        <w:adjustRightInd w:val="0"/>
        <w:rPr>
          <w:rFonts w:eastAsiaTheme="minorHAnsi"/>
          <w:color w:val="000000"/>
          <w:sz w:val="16"/>
          <w:szCs w:val="16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 xml:space="preserve">EDNA YUKIMI </w:t>
      </w:r>
      <w:proofErr w:type="gramStart"/>
      <w:r>
        <w:rPr>
          <w:rFonts w:eastAsiaTheme="minorHAnsi"/>
          <w:color w:val="000000"/>
          <w:sz w:val="23"/>
          <w:szCs w:val="23"/>
          <w:lang w:eastAsia="en-US"/>
        </w:rPr>
        <w:t>ITAKUSSU</w:t>
      </w:r>
      <w:r>
        <w:rPr>
          <w:rFonts w:eastAsiaTheme="minorHAnsi"/>
          <w:color w:val="000000"/>
          <w:szCs w:val="16"/>
          <w:vertAlign w:val="superscript"/>
          <w:lang w:eastAsia="en-US"/>
        </w:rPr>
        <w:t>1,</w:t>
      </w:r>
      <w:proofErr w:type="gramEnd"/>
      <w:r>
        <w:rPr>
          <w:rFonts w:eastAsiaTheme="minorHAnsi"/>
          <w:color w:val="000000"/>
          <w:szCs w:val="16"/>
          <w:vertAlign w:val="superscript"/>
          <w:lang w:eastAsia="en-US"/>
        </w:rPr>
        <w:t>2*</w:t>
      </w:r>
      <w:r>
        <w:rPr>
          <w:rFonts w:eastAsiaTheme="minorHAnsi"/>
          <w:color w:val="000000"/>
          <w:sz w:val="23"/>
          <w:szCs w:val="23"/>
          <w:lang w:eastAsia="en-US"/>
        </w:rPr>
        <w:t>, PAOLA JANEIRO VALENCIANO</w:t>
      </w:r>
      <w:r>
        <w:rPr>
          <w:rFonts w:eastAsiaTheme="minorHAnsi"/>
          <w:color w:val="000000"/>
          <w:szCs w:val="16"/>
          <w:vertAlign w:val="superscript"/>
          <w:lang w:eastAsia="en-US"/>
        </w:rPr>
        <w:t>1</w:t>
      </w:r>
      <w:r>
        <w:rPr>
          <w:rFonts w:eastAsiaTheme="minorHAnsi"/>
          <w:color w:val="000000"/>
          <w:sz w:val="23"/>
          <w:szCs w:val="23"/>
          <w:lang w:eastAsia="en-US"/>
        </w:rPr>
        <w:t>, DIRCE SHIZUKO FUJISAWA</w:t>
      </w:r>
      <w:r>
        <w:rPr>
          <w:rFonts w:eastAsiaTheme="minorHAnsi"/>
          <w:color w:val="000000"/>
          <w:szCs w:val="16"/>
          <w:vertAlign w:val="superscript"/>
          <w:lang w:eastAsia="en-US"/>
        </w:rPr>
        <w:t>1</w:t>
      </w:r>
      <w:r>
        <w:rPr>
          <w:rFonts w:eastAsiaTheme="minorHAnsi"/>
          <w:color w:val="000000"/>
          <w:sz w:val="23"/>
          <w:szCs w:val="23"/>
          <w:lang w:eastAsia="en-US"/>
        </w:rPr>
        <w:t>, ELZA HIROMI TOKUSHIMA ANAMI</w:t>
      </w:r>
      <w:r>
        <w:rPr>
          <w:rFonts w:eastAsiaTheme="minorHAnsi"/>
          <w:color w:val="000000"/>
          <w:szCs w:val="16"/>
          <w:vertAlign w:val="superscript"/>
          <w:lang w:eastAsia="en-US"/>
        </w:rPr>
        <w:t>2</w:t>
      </w:r>
      <w:r>
        <w:rPr>
          <w:rFonts w:eastAsiaTheme="minorHAnsi"/>
          <w:color w:val="000000"/>
          <w:sz w:val="23"/>
          <w:szCs w:val="23"/>
          <w:lang w:eastAsia="en-US"/>
        </w:rPr>
        <w:t>, CELITA SALMASO TRELHA</w:t>
      </w:r>
      <w:r>
        <w:rPr>
          <w:rFonts w:eastAsiaTheme="minorHAnsi"/>
          <w:color w:val="000000"/>
          <w:szCs w:val="16"/>
          <w:vertAlign w:val="superscript"/>
          <w:lang w:eastAsia="en-US"/>
        </w:rPr>
        <w:t>1</w:t>
      </w:r>
      <w:r>
        <w:rPr>
          <w:rFonts w:eastAsiaTheme="minorHAnsi"/>
          <w:color w:val="000000"/>
          <w:sz w:val="16"/>
          <w:szCs w:val="16"/>
          <w:lang w:eastAsia="en-US"/>
        </w:rPr>
        <w:t xml:space="preserve"> </w:t>
      </w:r>
    </w:p>
    <w:p w:rsidR="001250D4" w:rsidRDefault="001250D4" w:rsidP="001250D4">
      <w:pPr>
        <w:autoSpaceDE w:val="0"/>
        <w:autoSpaceDN w:val="0"/>
        <w:adjustRightInd w:val="0"/>
        <w:rPr>
          <w:rFonts w:eastAsiaTheme="minorHAnsi"/>
          <w:color w:val="000000"/>
          <w:sz w:val="16"/>
          <w:szCs w:val="16"/>
          <w:lang w:eastAsia="en-US"/>
        </w:rPr>
      </w:pPr>
    </w:p>
    <w:p w:rsidR="001250D4" w:rsidRDefault="001250D4" w:rsidP="001250D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proofErr w:type="gramStart"/>
      <w:r>
        <w:rPr>
          <w:rFonts w:eastAsiaTheme="minorHAnsi"/>
          <w:color w:val="000000"/>
          <w:szCs w:val="16"/>
          <w:vertAlign w:val="superscript"/>
          <w:lang w:eastAsia="en-US"/>
        </w:rPr>
        <w:t>1</w:t>
      </w:r>
      <w:r>
        <w:rPr>
          <w:rFonts w:eastAsiaTheme="minorHAnsi"/>
          <w:color w:val="000000"/>
          <w:sz w:val="23"/>
          <w:szCs w:val="23"/>
          <w:lang w:eastAsia="en-US"/>
        </w:rPr>
        <w:t>Programa</w:t>
      </w:r>
      <w:proofErr w:type="gramEnd"/>
      <w:r>
        <w:rPr>
          <w:rFonts w:eastAsiaTheme="minorHAnsi"/>
          <w:color w:val="000000"/>
          <w:sz w:val="23"/>
          <w:szCs w:val="23"/>
          <w:lang w:eastAsia="en-US"/>
        </w:rPr>
        <w:t xml:space="preserve"> de Pós-Graduação associado em Ciências da Reabilitação </w:t>
      </w:r>
      <w:r w:rsidR="00543C4C">
        <w:rPr>
          <w:rFonts w:eastAsiaTheme="minorHAnsi"/>
          <w:color w:val="000000"/>
          <w:sz w:val="23"/>
          <w:szCs w:val="23"/>
          <w:lang w:eastAsia="en-US"/>
        </w:rPr>
        <w:t>d</w:t>
      </w:r>
      <w:r>
        <w:rPr>
          <w:rFonts w:eastAsiaTheme="minorHAnsi"/>
          <w:color w:val="000000"/>
          <w:sz w:val="23"/>
          <w:szCs w:val="23"/>
          <w:lang w:eastAsia="en-US"/>
        </w:rPr>
        <w:t xml:space="preserve">a Universidade Estadual de Londrina (UEL) e Universidade Norte do Paraná (UNOPAR), Londrina, Paraná. Rua Robert Koch, 60, 86038-350, Londrina, Paraná, Brasil. </w:t>
      </w:r>
    </w:p>
    <w:p w:rsidR="001250D4" w:rsidRDefault="001250D4" w:rsidP="001250D4">
      <w:pPr>
        <w:spacing w:after="360"/>
        <w:jc w:val="both"/>
        <w:rPr>
          <w:rFonts w:eastAsiaTheme="minorHAnsi"/>
          <w:color w:val="000000"/>
          <w:sz w:val="23"/>
          <w:szCs w:val="23"/>
          <w:lang w:eastAsia="en-US"/>
        </w:rPr>
      </w:pPr>
      <w:proofErr w:type="gramStart"/>
      <w:r>
        <w:rPr>
          <w:rFonts w:eastAsiaTheme="minorHAnsi"/>
          <w:color w:val="000000"/>
          <w:szCs w:val="16"/>
          <w:vertAlign w:val="superscript"/>
          <w:lang w:eastAsia="en-US"/>
        </w:rPr>
        <w:t>2</w:t>
      </w:r>
      <w:r>
        <w:rPr>
          <w:rFonts w:eastAsiaTheme="minorHAnsi"/>
          <w:color w:val="000000"/>
          <w:sz w:val="23"/>
          <w:szCs w:val="23"/>
          <w:lang w:eastAsia="en-US"/>
        </w:rPr>
        <w:t>Centro</w:t>
      </w:r>
      <w:proofErr w:type="gramEnd"/>
      <w:r>
        <w:rPr>
          <w:rFonts w:eastAsiaTheme="minorHAnsi"/>
          <w:color w:val="000000"/>
          <w:sz w:val="23"/>
          <w:szCs w:val="23"/>
          <w:lang w:eastAsia="en-US"/>
        </w:rPr>
        <w:t xml:space="preserve"> de Tratamento de Queimados do Hospital Universitário de Londrina, Londrina, Paraná, Brasil.</w:t>
      </w:r>
    </w:p>
    <w:p w:rsidR="001250D4" w:rsidRDefault="001250D4" w:rsidP="001250D4">
      <w:pPr>
        <w:spacing w:after="360"/>
        <w:jc w:val="both"/>
        <w:rPr>
          <w:bCs/>
        </w:rPr>
      </w:pPr>
      <w:r>
        <w:rPr>
          <w:rFonts w:eastAsiaTheme="minorHAnsi"/>
          <w:color w:val="000000"/>
          <w:sz w:val="23"/>
          <w:szCs w:val="23"/>
          <w:lang w:eastAsia="en-US"/>
        </w:rPr>
        <w:t>* Autora para correspondência: yukimi@sercomtel.com.br</w:t>
      </w:r>
    </w:p>
    <w:p w:rsidR="001250D4" w:rsidRDefault="001250D4" w:rsidP="001250D4">
      <w:pPr>
        <w:spacing w:after="360"/>
        <w:jc w:val="both"/>
        <w:rPr>
          <w:b/>
          <w:bCs/>
        </w:rPr>
      </w:pPr>
    </w:p>
    <w:p w:rsidR="001250D4" w:rsidRDefault="001250D4" w:rsidP="001250D4">
      <w:pPr>
        <w:spacing w:after="360"/>
        <w:jc w:val="both"/>
        <w:rPr>
          <w:bCs/>
        </w:rPr>
      </w:pPr>
    </w:p>
    <w:p w:rsidR="001250D4" w:rsidRDefault="001250D4" w:rsidP="001250D4">
      <w:pPr>
        <w:spacing w:after="360"/>
        <w:jc w:val="center"/>
        <w:rPr>
          <w:b/>
          <w:bCs/>
        </w:rPr>
      </w:pPr>
    </w:p>
    <w:p w:rsidR="001250D4" w:rsidRDefault="001250D4" w:rsidP="001250D4">
      <w:pPr>
        <w:spacing w:after="360"/>
        <w:jc w:val="center"/>
        <w:rPr>
          <w:b/>
          <w:bCs/>
        </w:rPr>
      </w:pPr>
    </w:p>
    <w:p w:rsidR="001250D4" w:rsidRDefault="001250D4" w:rsidP="001250D4">
      <w:pPr>
        <w:spacing w:after="360"/>
        <w:jc w:val="center"/>
        <w:rPr>
          <w:b/>
          <w:bCs/>
        </w:rPr>
      </w:pPr>
    </w:p>
    <w:p w:rsidR="001250D4" w:rsidRDefault="001250D4" w:rsidP="001250D4">
      <w:pPr>
        <w:pStyle w:val="Pargrafo"/>
        <w:spacing w:line="360" w:lineRule="auto"/>
        <w:ind w:firstLine="0"/>
        <w:jc w:val="center"/>
        <w:rPr>
          <w:rFonts w:ascii="Times New Roman" w:hAnsi="Times New Roman"/>
          <w:b/>
        </w:rPr>
      </w:pPr>
    </w:p>
    <w:p w:rsidR="001250D4" w:rsidRDefault="001250D4" w:rsidP="001250D4">
      <w:pPr>
        <w:pStyle w:val="Pargrafo"/>
        <w:spacing w:line="360" w:lineRule="auto"/>
        <w:ind w:firstLine="0"/>
        <w:jc w:val="center"/>
        <w:rPr>
          <w:rFonts w:ascii="Times New Roman" w:hAnsi="Times New Roman"/>
          <w:b/>
        </w:rPr>
      </w:pPr>
    </w:p>
    <w:p w:rsidR="001250D4" w:rsidRDefault="001250D4" w:rsidP="001250D4">
      <w:pPr>
        <w:pStyle w:val="Pargrafo"/>
        <w:spacing w:line="240" w:lineRule="auto"/>
        <w:ind w:firstLine="0"/>
        <w:rPr>
          <w:rFonts w:ascii="Times New Roman" w:hAnsi="Times New Roman"/>
          <w:b/>
          <w:bCs/>
        </w:rPr>
      </w:pPr>
    </w:p>
    <w:p w:rsidR="001250D4" w:rsidRDefault="001250D4" w:rsidP="001250D4">
      <w:pPr>
        <w:pStyle w:val="Pargrafo"/>
        <w:spacing w:line="240" w:lineRule="auto"/>
        <w:ind w:firstLine="0"/>
        <w:rPr>
          <w:rFonts w:ascii="Times New Roman" w:hAnsi="Times New Roman"/>
          <w:b/>
          <w:bCs/>
        </w:rPr>
      </w:pPr>
    </w:p>
    <w:p w:rsidR="001250D4" w:rsidRDefault="001250D4" w:rsidP="001250D4">
      <w:pPr>
        <w:pStyle w:val="Pargrafo"/>
        <w:spacing w:line="240" w:lineRule="auto"/>
        <w:ind w:firstLine="0"/>
        <w:rPr>
          <w:rFonts w:ascii="Times New Roman" w:hAnsi="Times New Roman"/>
          <w:b/>
          <w:bCs/>
        </w:rPr>
      </w:pPr>
    </w:p>
    <w:p w:rsidR="001250D4" w:rsidRDefault="001250D4" w:rsidP="001250D4">
      <w:pPr>
        <w:pStyle w:val="Pargrafo"/>
        <w:spacing w:line="240" w:lineRule="auto"/>
        <w:ind w:firstLine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RESUMO</w:t>
      </w:r>
    </w:p>
    <w:p w:rsidR="001250D4" w:rsidRDefault="001250D4" w:rsidP="001250D4">
      <w:pPr>
        <w:pStyle w:val="Pargrafo"/>
        <w:spacing w:line="240" w:lineRule="auto"/>
        <w:ind w:firstLine="0"/>
        <w:rPr>
          <w:rFonts w:ascii="Times New Roman" w:hAnsi="Times New Roman"/>
          <w:b/>
          <w:bCs/>
        </w:rPr>
      </w:pPr>
    </w:p>
    <w:p w:rsidR="001250D4" w:rsidRDefault="001250D4" w:rsidP="001250D4">
      <w:pPr>
        <w:pStyle w:val="Pargrafo"/>
        <w:spacing w:line="240" w:lineRule="auto"/>
        <w:ind w:firstLine="0"/>
        <w:rPr>
          <w:rFonts w:ascii="Times New Roman" w:hAnsi="Times New Roman"/>
          <w:b/>
          <w:bCs/>
        </w:rPr>
      </w:pPr>
    </w:p>
    <w:p w:rsidR="001250D4" w:rsidRDefault="001250D4" w:rsidP="00245910">
      <w:pPr>
        <w:pStyle w:val="Pargrafo"/>
        <w:tabs>
          <w:tab w:val="left" w:pos="851"/>
        </w:tabs>
        <w:spacing w:line="360" w:lineRule="auto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</w:rPr>
        <w:t>As queimaduras causam diversos impactos na vida do indivíduo.</w:t>
      </w:r>
      <w:r>
        <w:rPr>
          <w:rFonts w:ascii="Times New Roman" w:hAnsi="Times New Roman"/>
        </w:rPr>
        <w:t xml:space="preserve"> Inúmeros são os problemas enfrentados pelos sobreviventes, como o hipermetabolismo</w:t>
      </w:r>
      <w:r w:rsidR="00543C4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que pode persistir </w:t>
      </w:r>
      <w:r w:rsidR="00245910">
        <w:rPr>
          <w:rFonts w:ascii="Times New Roman" w:hAnsi="Times New Roman"/>
        </w:rPr>
        <w:t xml:space="preserve">por </w:t>
      </w:r>
      <w:r>
        <w:rPr>
          <w:rFonts w:ascii="Times New Roman" w:hAnsi="Times New Roman"/>
        </w:rPr>
        <w:t>anos após o evento.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</w:rPr>
        <w:t xml:space="preserve">O objetivo </w:t>
      </w:r>
      <w:r w:rsidR="00543C4C">
        <w:rPr>
          <w:rFonts w:ascii="Times New Roman" w:hAnsi="Times New Roman"/>
          <w:bCs/>
        </w:rPr>
        <w:t xml:space="preserve">deste estudo </w:t>
      </w:r>
      <w:r>
        <w:rPr>
          <w:rFonts w:ascii="Times New Roman" w:hAnsi="Times New Roman"/>
          <w:bCs/>
        </w:rPr>
        <w:t>foi a</w:t>
      </w:r>
      <w:r>
        <w:rPr>
          <w:rFonts w:ascii="Times New Roman" w:hAnsi="Times New Roman"/>
        </w:rPr>
        <w:t xml:space="preserve">valiar a capacidade aeróbica, </w:t>
      </w:r>
      <w:r w:rsidR="00543C4C">
        <w:rPr>
          <w:rFonts w:ascii="Times New Roman" w:hAnsi="Times New Roman"/>
        </w:rPr>
        <w:t xml:space="preserve">o </w:t>
      </w:r>
      <w:r>
        <w:rPr>
          <w:rFonts w:ascii="Times New Roman" w:hAnsi="Times New Roman"/>
        </w:rPr>
        <w:t xml:space="preserve">nível de atividade física e </w:t>
      </w:r>
      <w:r w:rsidR="00543C4C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>dor em adultos</w:t>
      </w:r>
      <w:r w:rsidR="00543C4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vítimas de queimaduras após alta hospitalar</w:t>
      </w:r>
      <w:r w:rsidRPr="00380807">
        <w:rPr>
          <w:rFonts w:ascii="Times New Roman" w:hAnsi="Times New Roman"/>
          <w:bCs/>
        </w:rPr>
        <w:t xml:space="preserve">. </w:t>
      </w:r>
      <w:r w:rsidR="00543C4C">
        <w:rPr>
          <w:rFonts w:ascii="Times New Roman" w:hAnsi="Times New Roman"/>
          <w:bCs/>
        </w:rPr>
        <w:t>Neste e</w:t>
      </w:r>
      <w:r>
        <w:rPr>
          <w:rFonts w:ascii="Times New Roman" w:hAnsi="Times New Roman"/>
          <w:bCs/>
          <w:szCs w:val="24"/>
        </w:rPr>
        <w:t>studo descritivo</w:t>
      </w:r>
      <w:r w:rsidR="00543C4C">
        <w:rPr>
          <w:rFonts w:ascii="Times New Roman" w:hAnsi="Times New Roman"/>
          <w:bCs/>
          <w:szCs w:val="24"/>
        </w:rPr>
        <w:t xml:space="preserve"> e</w:t>
      </w:r>
      <w:r>
        <w:rPr>
          <w:rFonts w:ascii="Times New Roman" w:hAnsi="Times New Roman"/>
          <w:bCs/>
          <w:szCs w:val="24"/>
        </w:rPr>
        <w:t xml:space="preserve"> transversal</w:t>
      </w:r>
      <w:r w:rsidR="00543C4C">
        <w:rPr>
          <w:rFonts w:ascii="Times New Roman" w:hAnsi="Times New Roman"/>
          <w:bCs/>
          <w:szCs w:val="24"/>
        </w:rPr>
        <w:t>, p</w:t>
      </w:r>
      <w:r>
        <w:rPr>
          <w:rFonts w:ascii="Times New Roman" w:hAnsi="Times New Roman"/>
          <w:bCs/>
          <w:szCs w:val="24"/>
        </w:rPr>
        <w:t xml:space="preserve">articiparam 60 </w:t>
      </w:r>
      <w:r>
        <w:rPr>
          <w:rFonts w:ascii="Times New Roman" w:hAnsi="Times New Roman"/>
          <w:szCs w:val="24"/>
        </w:rPr>
        <w:t>adultos</w:t>
      </w:r>
      <w:r w:rsidR="00543C4C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vítimas de queimaduras moderadas a graves, avaliados pelo</w:t>
      </w:r>
      <w:r>
        <w:rPr>
          <w:rFonts w:ascii="Times New Roman" w:hAnsi="Times New Roman"/>
          <w:szCs w:val="24"/>
          <w:shd w:val="clear" w:color="auto" w:fill="FFFFFF"/>
        </w:rPr>
        <w:t xml:space="preserve"> teste de caminhada de seis minutos (TC6min), </w:t>
      </w:r>
      <w:r w:rsidR="00543C4C">
        <w:rPr>
          <w:rFonts w:ascii="Times New Roman" w:hAnsi="Times New Roman"/>
          <w:szCs w:val="24"/>
          <w:shd w:val="clear" w:color="auto" w:fill="FFFFFF"/>
        </w:rPr>
        <w:t xml:space="preserve">pela </w:t>
      </w:r>
      <w:r>
        <w:rPr>
          <w:rFonts w:ascii="Times New Roman" w:hAnsi="Times New Roman"/>
          <w:szCs w:val="24"/>
          <w:shd w:val="clear" w:color="auto" w:fill="FFFFFF"/>
        </w:rPr>
        <w:t xml:space="preserve">Escala de Dor e </w:t>
      </w:r>
      <w:r w:rsidR="00543C4C">
        <w:rPr>
          <w:rFonts w:ascii="Times New Roman" w:hAnsi="Times New Roman"/>
          <w:szCs w:val="24"/>
          <w:shd w:val="clear" w:color="auto" w:fill="FFFFFF"/>
        </w:rPr>
        <w:t xml:space="preserve">pelo </w:t>
      </w:r>
      <w:r>
        <w:rPr>
          <w:rFonts w:ascii="Times New Roman" w:hAnsi="Times New Roman"/>
          <w:szCs w:val="24"/>
          <w:shd w:val="clear" w:color="auto" w:fill="FFFFFF"/>
        </w:rPr>
        <w:t>Questionário Internacional de Atividade Física (IPAQ). Utilizou-se Teste t Student independente e Mann-Whitney  para comparações entre médio</w:t>
      </w:r>
      <w:r w:rsidR="00245910">
        <w:rPr>
          <w:rFonts w:ascii="Times New Roman" w:hAnsi="Times New Roman"/>
          <w:szCs w:val="24"/>
          <w:shd w:val="clear" w:color="auto" w:fill="FFFFFF"/>
        </w:rPr>
        <w:t>s</w:t>
      </w:r>
      <w:r>
        <w:rPr>
          <w:rFonts w:ascii="Times New Roman" w:hAnsi="Times New Roman"/>
          <w:szCs w:val="24"/>
          <w:shd w:val="clear" w:color="auto" w:fill="FFFFFF"/>
        </w:rPr>
        <w:t xml:space="preserve"> e grande</w:t>
      </w:r>
      <w:r w:rsidR="00245910">
        <w:rPr>
          <w:rFonts w:ascii="Times New Roman" w:hAnsi="Times New Roman"/>
          <w:szCs w:val="24"/>
          <w:shd w:val="clear" w:color="auto" w:fill="FFFFFF"/>
        </w:rPr>
        <w:t>s</w:t>
      </w:r>
      <w:r>
        <w:rPr>
          <w:rFonts w:ascii="Times New Roman" w:hAnsi="Times New Roman"/>
          <w:szCs w:val="24"/>
          <w:shd w:val="clear" w:color="auto" w:fill="FFFFFF"/>
        </w:rPr>
        <w:t xml:space="preserve"> queimados; o Qui quadrado para comparação do nível de atividade física. </w:t>
      </w:r>
      <w:r>
        <w:rPr>
          <w:rFonts w:ascii="Times New Roman" w:hAnsi="Times New Roman"/>
          <w:szCs w:val="24"/>
        </w:rPr>
        <w:t>Dos 60 pacientes</w:t>
      </w:r>
      <w:r w:rsidR="00543C4C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predomin</w:t>
      </w:r>
      <w:r w:rsidR="00543C4C">
        <w:rPr>
          <w:rFonts w:ascii="Times New Roman" w:hAnsi="Times New Roman"/>
          <w:szCs w:val="24"/>
        </w:rPr>
        <w:t>aram</w:t>
      </w:r>
      <w:r>
        <w:rPr>
          <w:rFonts w:ascii="Times New Roman" w:hAnsi="Times New Roman"/>
          <w:szCs w:val="24"/>
        </w:rPr>
        <w:t xml:space="preserve"> os grande</w:t>
      </w:r>
      <w:r w:rsidR="00543C4C">
        <w:rPr>
          <w:rFonts w:ascii="Times New Roman" w:hAnsi="Times New Roman"/>
          <w:szCs w:val="24"/>
        </w:rPr>
        <w:t>s</w:t>
      </w:r>
      <w:r>
        <w:rPr>
          <w:rFonts w:ascii="Times New Roman" w:hAnsi="Times New Roman"/>
          <w:szCs w:val="24"/>
        </w:rPr>
        <w:t xml:space="preserve"> queimados (73%)</w:t>
      </w:r>
      <w:r w:rsidR="00245910">
        <w:rPr>
          <w:rFonts w:ascii="Times New Roman" w:hAnsi="Times New Roman"/>
          <w:szCs w:val="24"/>
        </w:rPr>
        <w:t xml:space="preserve"> e</w:t>
      </w:r>
      <w:r>
        <w:rPr>
          <w:rFonts w:ascii="Times New Roman" w:hAnsi="Times New Roman"/>
          <w:szCs w:val="24"/>
        </w:rPr>
        <w:t xml:space="preserve"> encontrou-se tendência estatística na distância predita entre os grupos (</w:t>
      </w:r>
      <w:r>
        <w:rPr>
          <w:rFonts w:ascii="Times New Roman" w:hAnsi="Times New Roman"/>
          <w:i/>
          <w:szCs w:val="24"/>
        </w:rPr>
        <w:t>p</w:t>
      </w:r>
      <w:r>
        <w:rPr>
          <w:rFonts w:ascii="Times New Roman" w:hAnsi="Times New Roman"/>
          <w:szCs w:val="24"/>
        </w:rPr>
        <w:t xml:space="preserve">=0,066), sem alteração no desempenho da capacidade aeróbica. 60% referiram praticar atividade física pelo menos três vezes </w:t>
      </w:r>
      <w:r w:rsidR="00543C4C">
        <w:rPr>
          <w:rFonts w:ascii="Times New Roman" w:hAnsi="Times New Roman"/>
          <w:szCs w:val="24"/>
        </w:rPr>
        <w:t xml:space="preserve">por </w:t>
      </w:r>
      <w:r>
        <w:rPr>
          <w:rFonts w:ascii="Times New Roman" w:hAnsi="Times New Roman"/>
          <w:szCs w:val="24"/>
        </w:rPr>
        <w:t>semana:</w:t>
      </w:r>
      <w:r w:rsidR="00543C4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caminhadas, bicicleta e futebol. </w:t>
      </w:r>
      <w:r>
        <w:rPr>
          <w:rFonts w:ascii="Times New Roman" w:hAnsi="Times New Roman"/>
        </w:rPr>
        <w:t xml:space="preserve">Quanto ao nível de dor, 40% dos avaliados </w:t>
      </w:r>
      <w:r w:rsidR="00245910">
        <w:rPr>
          <w:rFonts w:ascii="Times New Roman" w:hAnsi="Times New Roman"/>
        </w:rPr>
        <w:t>mencionaram</w:t>
      </w:r>
      <w:r>
        <w:rPr>
          <w:rFonts w:ascii="Times New Roman" w:hAnsi="Times New Roman"/>
        </w:rPr>
        <w:t xml:space="preserve"> dores persistentes de moderadas a intensas, mesmo após a cicatrização total das feridas. </w:t>
      </w:r>
      <w:r>
        <w:rPr>
          <w:rFonts w:ascii="Times New Roman" w:hAnsi="Times New Roman"/>
          <w:bCs/>
        </w:rPr>
        <w:t>A maioria dos adultos</w:t>
      </w:r>
      <w:r w:rsidR="00543C4C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  <w:iCs/>
        </w:rPr>
        <w:t xml:space="preserve"> vítimas de queimaduras moderadas a graves</w:t>
      </w:r>
      <w:r w:rsidR="00543C4C">
        <w:rPr>
          <w:rFonts w:ascii="Times New Roman" w:hAnsi="Times New Roman"/>
          <w:bCs/>
          <w:iCs/>
        </w:rPr>
        <w:t>,</w:t>
      </w:r>
      <w:r>
        <w:rPr>
          <w:rFonts w:ascii="Times New Roman" w:hAnsi="Times New Roman"/>
          <w:bCs/>
          <w:iCs/>
        </w:rPr>
        <w:t xml:space="preserve"> encontra-se com a sua capacidade aeróbica dentro da normalidade</w:t>
      </w:r>
      <w:r w:rsidR="00543C4C">
        <w:rPr>
          <w:rFonts w:ascii="Times New Roman" w:hAnsi="Times New Roman"/>
          <w:bCs/>
          <w:iCs/>
        </w:rPr>
        <w:t xml:space="preserve"> e</w:t>
      </w:r>
      <w:r>
        <w:rPr>
          <w:rFonts w:ascii="Times New Roman" w:hAnsi="Times New Roman"/>
          <w:bCs/>
          <w:iCs/>
        </w:rPr>
        <w:t>, apesar do elevado índice de massa corpórea</w:t>
      </w:r>
      <w:r w:rsidR="00543C4C">
        <w:rPr>
          <w:rFonts w:ascii="Times New Roman" w:hAnsi="Times New Roman"/>
          <w:bCs/>
          <w:iCs/>
        </w:rPr>
        <w:t>,</w:t>
      </w:r>
      <w:r>
        <w:rPr>
          <w:rFonts w:ascii="Times New Roman" w:hAnsi="Times New Roman"/>
          <w:bCs/>
          <w:iCs/>
        </w:rPr>
        <w:t xml:space="preserve"> </w:t>
      </w:r>
      <w:r w:rsidR="00543C4C">
        <w:rPr>
          <w:rFonts w:ascii="Times New Roman" w:hAnsi="Times New Roman"/>
          <w:bCs/>
          <w:iCs/>
        </w:rPr>
        <w:t xml:space="preserve">afirma </w:t>
      </w:r>
      <w:r>
        <w:rPr>
          <w:rFonts w:ascii="Times New Roman" w:hAnsi="Times New Roman"/>
          <w:bCs/>
          <w:iCs/>
        </w:rPr>
        <w:t xml:space="preserve">realizar atividades físicas de moderada intensidade. </w:t>
      </w:r>
    </w:p>
    <w:p w:rsidR="001250D4" w:rsidRDefault="001250D4" w:rsidP="001250D4">
      <w:pPr>
        <w:pStyle w:val="Pargrafo"/>
        <w:spacing w:line="360" w:lineRule="auto"/>
        <w:ind w:firstLine="0"/>
        <w:rPr>
          <w:rFonts w:ascii="Times New Roman" w:hAnsi="Times New Roman"/>
          <w:bCs/>
        </w:rPr>
      </w:pPr>
    </w:p>
    <w:p w:rsidR="001250D4" w:rsidRDefault="001250D4" w:rsidP="001250D4">
      <w:pPr>
        <w:pStyle w:val="Pargrafo"/>
        <w:spacing w:line="360" w:lineRule="auto"/>
        <w:ind w:firstLine="0"/>
      </w:pPr>
      <w:r>
        <w:rPr>
          <w:rFonts w:ascii="Times New Roman" w:hAnsi="Times New Roman"/>
          <w:b/>
          <w:szCs w:val="22"/>
        </w:rPr>
        <w:t>Palavras</w:t>
      </w:r>
      <w:r w:rsidR="00543C4C">
        <w:rPr>
          <w:rFonts w:ascii="Times New Roman" w:hAnsi="Times New Roman"/>
          <w:b/>
          <w:szCs w:val="22"/>
        </w:rPr>
        <w:t>-</w:t>
      </w:r>
      <w:r>
        <w:rPr>
          <w:rFonts w:ascii="Times New Roman" w:hAnsi="Times New Roman"/>
          <w:b/>
          <w:szCs w:val="22"/>
        </w:rPr>
        <w:t xml:space="preserve">chave: </w:t>
      </w:r>
      <w:r>
        <w:rPr>
          <w:rFonts w:ascii="Times New Roman" w:hAnsi="Times New Roman"/>
        </w:rPr>
        <w:t>Fisioterapia; Caminhada; Teste de esforço; Avaliação.</w:t>
      </w:r>
    </w:p>
    <w:p w:rsidR="001250D4" w:rsidRDefault="001250D4" w:rsidP="001250D4">
      <w:pPr>
        <w:pStyle w:val="Pargrafo"/>
        <w:spacing w:line="240" w:lineRule="auto"/>
        <w:ind w:firstLine="0"/>
        <w:rPr>
          <w:b/>
          <w:szCs w:val="22"/>
        </w:rPr>
      </w:pPr>
    </w:p>
    <w:p w:rsidR="001250D4" w:rsidRDefault="001250D4" w:rsidP="001250D4">
      <w:pPr>
        <w:pStyle w:val="Pargrafo"/>
        <w:spacing w:line="240" w:lineRule="auto"/>
        <w:ind w:firstLine="0"/>
        <w:rPr>
          <w:rFonts w:ascii="Times New Roman" w:hAnsi="Times New Roman"/>
          <w:b/>
          <w:szCs w:val="22"/>
        </w:rPr>
      </w:pPr>
    </w:p>
    <w:p w:rsidR="001250D4" w:rsidRDefault="001250D4" w:rsidP="001250D4">
      <w:pPr>
        <w:pStyle w:val="Pargrafo"/>
        <w:spacing w:line="240" w:lineRule="auto"/>
        <w:ind w:firstLine="0"/>
        <w:rPr>
          <w:rFonts w:ascii="Times New Roman" w:hAnsi="Times New Roman"/>
          <w:b/>
          <w:szCs w:val="22"/>
        </w:rPr>
      </w:pPr>
    </w:p>
    <w:p w:rsidR="001250D4" w:rsidRDefault="001250D4" w:rsidP="001250D4">
      <w:pPr>
        <w:pStyle w:val="Pargrafo"/>
        <w:spacing w:line="240" w:lineRule="auto"/>
        <w:ind w:firstLine="0"/>
        <w:rPr>
          <w:rFonts w:ascii="Times New Roman" w:hAnsi="Times New Roman"/>
          <w:b/>
          <w:szCs w:val="22"/>
        </w:rPr>
      </w:pPr>
    </w:p>
    <w:p w:rsidR="001250D4" w:rsidRDefault="001250D4" w:rsidP="001250D4">
      <w:pPr>
        <w:pStyle w:val="Pargrafo"/>
        <w:spacing w:line="240" w:lineRule="auto"/>
        <w:ind w:firstLine="0"/>
        <w:rPr>
          <w:rFonts w:ascii="Times New Roman" w:hAnsi="Times New Roman"/>
          <w:b/>
          <w:szCs w:val="22"/>
        </w:rPr>
      </w:pPr>
    </w:p>
    <w:p w:rsidR="001250D4" w:rsidRDefault="001250D4" w:rsidP="001250D4">
      <w:pPr>
        <w:pStyle w:val="Pargrafo"/>
        <w:spacing w:line="240" w:lineRule="auto"/>
        <w:ind w:firstLine="0"/>
        <w:rPr>
          <w:rFonts w:ascii="Times New Roman" w:hAnsi="Times New Roman"/>
          <w:b/>
          <w:szCs w:val="22"/>
        </w:rPr>
      </w:pPr>
    </w:p>
    <w:p w:rsidR="001250D4" w:rsidRDefault="001250D4" w:rsidP="001250D4">
      <w:pPr>
        <w:pStyle w:val="Pargrafo"/>
        <w:spacing w:line="240" w:lineRule="auto"/>
        <w:ind w:firstLine="0"/>
        <w:rPr>
          <w:rFonts w:ascii="Times New Roman" w:hAnsi="Times New Roman"/>
          <w:b/>
          <w:szCs w:val="22"/>
        </w:rPr>
      </w:pPr>
    </w:p>
    <w:p w:rsidR="001250D4" w:rsidRDefault="001250D4" w:rsidP="001250D4">
      <w:pPr>
        <w:pStyle w:val="Pargrafo"/>
        <w:spacing w:line="240" w:lineRule="auto"/>
        <w:ind w:firstLine="0"/>
        <w:rPr>
          <w:rFonts w:ascii="Times New Roman" w:hAnsi="Times New Roman"/>
          <w:b/>
          <w:szCs w:val="22"/>
        </w:rPr>
      </w:pPr>
    </w:p>
    <w:p w:rsidR="001250D4" w:rsidRDefault="001250D4" w:rsidP="001250D4">
      <w:pPr>
        <w:pStyle w:val="Pargrafo"/>
        <w:spacing w:line="240" w:lineRule="auto"/>
        <w:ind w:firstLine="0"/>
        <w:rPr>
          <w:rFonts w:ascii="Times New Roman" w:hAnsi="Times New Roman"/>
          <w:b/>
          <w:szCs w:val="22"/>
        </w:rPr>
      </w:pPr>
    </w:p>
    <w:p w:rsidR="001250D4" w:rsidRDefault="001250D4" w:rsidP="001250D4">
      <w:pPr>
        <w:pStyle w:val="Pargrafo"/>
        <w:spacing w:line="240" w:lineRule="auto"/>
        <w:ind w:firstLine="0"/>
        <w:rPr>
          <w:rFonts w:ascii="Times New Roman" w:hAnsi="Times New Roman"/>
          <w:b/>
          <w:szCs w:val="22"/>
        </w:rPr>
      </w:pPr>
    </w:p>
    <w:p w:rsidR="001250D4" w:rsidRDefault="001250D4" w:rsidP="001250D4">
      <w:pPr>
        <w:pStyle w:val="Pargrafo"/>
        <w:spacing w:line="240" w:lineRule="auto"/>
        <w:ind w:firstLine="0"/>
        <w:rPr>
          <w:rFonts w:ascii="Times New Roman" w:hAnsi="Times New Roman"/>
          <w:b/>
          <w:szCs w:val="22"/>
        </w:rPr>
      </w:pPr>
    </w:p>
    <w:p w:rsidR="001250D4" w:rsidRDefault="001250D4" w:rsidP="001250D4">
      <w:pPr>
        <w:pStyle w:val="Pargrafo"/>
        <w:spacing w:line="240" w:lineRule="auto"/>
        <w:ind w:firstLine="0"/>
        <w:rPr>
          <w:rFonts w:ascii="Times New Roman" w:hAnsi="Times New Roman"/>
          <w:b/>
          <w:szCs w:val="22"/>
        </w:rPr>
      </w:pPr>
    </w:p>
    <w:p w:rsidR="001250D4" w:rsidRDefault="001250D4" w:rsidP="001250D4">
      <w:pPr>
        <w:pStyle w:val="Pargrafo"/>
        <w:spacing w:line="240" w:lineRule="auto"/>
        <w:ind w:firstLine="0"/>
        <w:rPr>
          <w:rFonts w:ascii="Times New Roman" w:hAnsi="Times New Roman"/>
          <w:b/>
          <w:szCs w:val="22"/>
        </w:rPr>
      </w:pPr>
    </w:p>
    <w:p w:rsidR="001250D4" w:rsidRDefault="001250D4" w:rsidP="001250D4">
      <w:pPr>
        <w:pStyle w:val="Pargrafo"/>
        <w:spacing w:line="240" w:lineRule="auto"/>
        <w:ind w:firstLine="0"/>
        <w:rPr>
          <w:rFonts w:ascii="Times New Roman" w:hAnsi="Times New Roman"/>
          <w:b/>
          <w:szCs w:val="22"/>
        </w:rPr>
      </w:pPr>
    </w:p>
    <w:p w:rsidR="001250D4" w:rsidRDefault="001250D4" w:rsidP="001250D4">
      <w:pPr>
        <w:pStyle w:val="Pargrafo"/>
        <w:spacing w:line="240" w:lineRule="auto"/>
        <w:ind w:firstLine="0"/>
        <w:rPr>
          <w:rFonts w:ascii="Times New Roman" w:hAnsi="Times New Roman"/>
          <w:b/>
          <w:szCs w:val="22"/>
        </w:rPr>
      </w:pPr>
    </w:p>
    <w:p w:rsidR="001250D4" w:rsidRDefault="001250D4" w:rsidP="001250D4">
      <w:pPr>
        <w:pStyle w:val="Pargrafo"/>
        <w:spacing w:line="240" w:lineRule="auto"/>
        <w:ind w:firstLine="0"/>
        <w:rPr>
          <w:rFonts w:ascii="Times New Roman" w:hAnsi="Times New Roman"/>
          <w:b/>
          <w:szCs w:val="22"/>
        </w:rPr>
      </w:pPr>
    </w:p>
    <w:p w:rsidR="001250D4" w:rsidRDefault="001250D4" w:rsidP="001250D4">
      <w:pPr>
        <w:pStyle w:val="Pargrafo"/>
        <w:spacing w:line="240" w:lineRule="auto"/>
        <w:ind w:firstLine="0"/>
        <w:rPr>
          <w:rFonts w:ascii="Times New Roman" w:hAnsi="Times New Roman"/>
          <w:b/>
          <w:szCs w:val="22"/>
        </w:rPr>
      </w:pPr>
    </w:p>
    <w:p w:rsidR="001250D4" w:rsidRDefault="001250D4" w:rsidP="001250D4">
      <w:pPr>
        <w:pStyle w:val="Pargrafo"/>
        <w:spacing w:line="240" w:lineRule="auto"/>
        <w:ind w:firstLine="0"/>
        <w:rPr>
          <w:rFonts w:ascii="Times New Roman" w:hAnsi="Times New Roman"/>
          <w:b/>
          <w:szCs w:val="22"/>
        </w:rPr>
      </w:pPr>
    </w:p>
    <w:p w:rsidR="001250D4" w:rsidRDefault="001250D4" w:rsidP="001250D4">
      <w:pPr>
        <w:pStyle w:val="Pargrafo"/>
        <w:spacing w:line="240" w:lineRule="auto"/>
        <w:ind w:firstLine="0"/>
        <w:rPr>
          <w:rFonts w:ascii="Times New Roman" w:hAnsi="Times New Roman"/>
          <w:b/>
          <w:szCs w:val="22"/>
          <w:lang w:val="en-US"/>
        </w:rPr>
      </w:pPr>
      <w:r>
        <w:rPr>
          <w:rFonts w:ascii="Times New Roman" w:hAnsi="Times New Roman"/>
          <w:b/>
          <w:szCs w:val="22"/>
          <w:lang w:val="en-US"/>
        </w:rPr>
        <w:t>ABSTRACT</w:t>
      </w:r>
    </w:p>
    <w:p w:rsidR="001250D4" w:rsidRDefault="001250D4" w:rsidP="001250D4">
      <w:pPr>
        <w:pStyle w:val="Pargrafo"/>
        <w:spacing w:line="240" w:lineRule="auto"/>
        <w:ind w:firstLine="0"/>
        <w:rPr>
          <w:rFonts w:ascii="Times New Roman" w:hAnsi="Times New Roman"/>
          <w:b/>
          <w:szCs w:val="22"/>
          <w:lang w:val="en-US"/>
        </w:rPr>
      </w:pPr>
    </w:p>
    <w:p w:rsidR="001250D4" w:rsidRDefault="001250D4" w:rsidP="001250D4">
      <w:pPr>
        <w:pStyle w:val="Pargrafo"/>
        <w:spacing w:line="240" w:lineRule="auto"/>
        <w:ind w:firstLine="0"/>
        <w:rPr>
          <w:rFonts w:ascii="Times New Roman" w:hAnsi="Times New Roman"/>
          <w:b/>
          <w:szCs w:val="22"/>
          <w:lang w:val="en-US"/>
        </w:rPr>
      </w:pPr>
    </w:p>
    <w:p w:rsidR="001250D4" w:rsidRDefault="001250D4" w:rsidP="001250D4">
      <w:pPr>
        <w:pStyle w:val="Pr-formataoHTML"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Burns cause different impacts on the individual's life. Many are the problems faced by survivors such 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hypermetabolism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that may persist years after the event. The aim was to assess aerobic capacity, level of physical activity and pain in adult burn victims after hospital discharge.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 descriptive, cross-sectional study.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Participated in 60 adult victims of moderate to severe burns, evaluated the six-minute walk test (6MWT), Pain Scale and International Physical Activity Questionnaire (IPAQ). We used independent t test Student and Mann-Whitney test for comparisons between medium and large burned; Chi square test to compare the physical activity level. Of the 60 patients predominated up the large burned (73%), found a statistically significant trend in the distance predicted between groups (p = 0.066), with no change in performance of the aerobic capacity. 60% reported physical activity at least three times a week: walking, cycling and football. The level of pain assessed 40% reported persistent pain of moderate to severe, even after full healing of wounds. Most adult victims of moderate to severe burns are with your aerobic capacity within the normal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range,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despite the high body mass index reported doing physical activities of moderate intensity.</w:t>
      </w:r>
    </w:p>
    <w:p w:rsidR="001250D4" w:rsidRDefault="001250D4" w:rsidP="001250D4">
      <w:pPr>
        <w:pStyle w:val="Pr-formataoHTML"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250D4" w:rsidRDefault="001250D4" w:rsidP="001250D4">
      <w:pPr>
        <w:pStyle w:val="Pargrafo"/>
        <w:spacing w:line="360" w:lineRule="auto"/>
        <w:ind w:firstLine="0"/>
        <w:rPr>
          <w:rFonts w:ascii="Times New Roman" w:hAnsi="Times New Roman"/>
          <w:bCs/>
          <w:szCs w:val="24"/>
          <w:lang w:val="en-US"/>
        </w:rPr>
      </w:pPr>
      <w:r>
        <w:rPr>
          <w:rFonts w:ascii="Times New Roman" w:hAnsi="Times New Roman"/>
          <w:b/>
          <w:szCs w:val="24"/>
          <w:lang w:val="en-US"/>
        </w:rPr>
        <w:t xml:space="preserve">Keywords: </w:t>
      </w:r>
      <w:r>
        <w:rPr>
          <w:rFonts w:ascii="Times New Roman" w:hAnsi="Times New Roman"/>
          <w:bCs/>
          <w:szCs w:val="24"/>
          <w:lang w:val="en-US"/>
        </w:rPr>
        <w:t>Physical Therapy; Walking; Exercise Test; Assessment.</w:t>
      </w:r>
    </w:p>
    <w:p w:rsidR="001250D4" w:rsidRDefault="001250D4" w:rsidP="001250D4">
      <w:pPr>
        <w:pStyle w:val="Pargrafo"/>
        <w:ind w:firstLine="0"/>
        <w:jc w:val="left"/>
        <w:rPr>
          <w:rFonts w:ascii="Times New Roman" w:hAnsi="Times New Roman"/>
          <w:bCs/>
          <w:lang w:val="en-US"/>
        </w:rPr>
      </w:pPr>
    </w:p>
    <w:p w:rsidR="001250D4" w:rsidRDefault="001250D4" w:rsidP="001250D4">
      <w:pPr>
        <w:pStyle w:val="Pargrafo"/>
        <w:ind w:firstLine="0"/>
        <w:jc w:val="left"/>
        <w:rPr>
          <w:rFonts w:ascii="Times New Roman" w:hAnsi="Times New Roman"/>
          <w:bCs/>
          <w:lang w:val="en-US"/>
        </w:rPr>
      </w:pPr>
    </w:p>
    <w:p w:rsidR="001250D4" w:rsidRDefault="001250D4" w:rsidP="001250D4">
      <w:pPr>
        <w:pStyle w:val="Pargrafo"/>
        <w:ind w:firstLine="0"/>
        <w:jc w:val="left"/>
        <w:rPr>
          <w:rFonts w:ascii="Times New Roman" w:hAnsi="Times New Roman"/>
          <w:bCs/>
          <w:lang w:val="en-US"/>
        </w:rPr>
      </w:pPr>
    </w:p>
    <w:p w:rsidR="001250D4" w:rsidRDefault="001250D4" w:rsidP="001250D4">
      <w:pPr>
        <w:pStyle w:val="Pargrafo"/>
        <w:ind w:firstLine="0"/>
        <w:jc w:val="left"/>
        <w:rPr>
          <w:rFonts w:ascii="Times New Roman" w:hAnsi="Times New Roman"/>
          <w:bCs/>
          <w:lang w:val="en-US"/>
        </w:rPr>
      </w:pPr>
    </w:p>
    <w:p w:rsidR="001250D4" w:rsidRDefault="001250D4" w:rsidP="001250D4">
      <w:pPr>
        <w:pStyle w:val="Pargrafo"/>
        <w:ind w:firstLine="0"/>
        <w:jc w:val="left"/>
        <w:rPr>
          <w:rFonts w:ascii="Times New Roman" w:hAnsi="Times New Roman"/>
          <w:bCs/>
          <w:lang w:val="en-US"/>
        </w:rPr>
      </w:pPr>
    </w:p>
    <w:p w:rsidR="001250D4" w:rsidRDefault="001250D4" w:rsidP="001250D4">
      <w:pPr>
        <w:pStyle w:val="Pargrafo"/>
        <w:ind w:firstLine="0"/>
        <w:jc w:val="left"/>
        <w:rPr>
          <w:rFonts w:ascii="Times New Roman" w:hAnsi="Times New Roman"/>
          <w:bCs/>
          <w:lang w:val="en-US"/>
        </w:rPr>
      </w:pPr>
    </w:p>
    <w:p w:rsidR="001250D4" w:rsidRDefault="001250D4" w:rsidP="001250D4">
      <w:pPr>
        <w:pStyle w:val="Pargrafo"/>
        <w:ind w:firstLine="0"/>
        <w:jc w:val="left"/>
        <w:rPr>
          <w:rFonts w:ascii="Times New Roman" w:hAnsi="Times New Roman"/>
          <w:bCs/>
          <w:lang w:val="en-US"/>
        </w:rPr>
      </w:pPr>
    </w:p>
    <w:p w:rsidR="001250D4" w:rsidRDefault="001250D4" w:rsidP="001250D4">
      <w:pPr>
        <w:pStyle w:val="Pargrafo"/>
        <w:ind w:firstLine="0"/>
        <w:jc w:val="left"/>
        <w:rPr>
          <w:rFonts w:ascii="Times New Roman" w:hAnsi="Times New Roman"/>
          <w:bCs/>
          <w:lang w:val="en-US"/>
        </w:rPr>
      </w:pPr>
    </w:p>
    <w:p w:rsidR="001250D4" w:rsidRDefault="001250D4" w:rsidP="001250D4">
      <w:pPr>
        <w:tabs>
          <w:tab w:val="left" w:pos="1701"/>
        </w:tabs>
        <w:spacing w:line="360" w:lineRule="auto"/>
        <w:jc w:val="both"/>
        <w:rPr>
          <w:b/>
          <w:lang w:val="en-US"/>
        </w:rPr>
      </w:pPr>
    </w:p>
    <w:p w:rsidR="001250D4" w:rsidRDefault="001250D4" w:rsidP="001250D4">
      <w:pPr>
        <w:tabs>
          <w:tab w:val="left" w:pos="1701"/>
        </w:tabs>
        <w:spacing w:line="360" w:lineRule="auto"/>
        <w:jc w:val="both"/>
        <w:rPr>
          <w:b/>
          <w:lang w:val="en-US"/>
        </w:rPr>
      </w:pPr>
    </w:p>
    <w:p w:rsidR="001250D4" w:rsidRDefault="001250D4" w:rsidP="001250D4">
      <w:pPr>
        <w:tabs>
          <w:tab w:val="left" w:pos="1701"/>
        </w:tabs>
        <w:spacing w:line="360" w:lineRule="auto"/>
        <w:jc w:val="both"/>
        <w:rPr>
          <w:b/>
          <w:lang w:val="en-US"/>
        </w:rPr>
      </w:pPr>
    </w:p>
    <w:p w:rsidR="001250D4" w:rsidRDefault="001250D4" w:rsidP="001250D4">
      <w:pPr>
        <w:tabs>
          <w:tab w:val="left" w:pos="1701"/>
        </w:tabs>
        <w:spacing w:line="360" w:lineRule="auto"/>
        <w:jc w:val="both"/>
        <w:rPr>
          <w:b/>
          <w:lang w:val="en-US"/>
        </w:rPr>
      </w:pPr>
    </w:p>
    <w:p w:rsidR="001250D4" w:rsidRDefault="001250D4" w:rsidP="001250D4">
      <w:pPr>
        <w:tabs>
          <w:tab w:val="left" w:pos="1701"/>
        </w:tabs>
        <w:spacing w:line="360" w:lineRule="auto"/>
        <w:jc w:val="both"/>
        <w:rPr>
          <w:b/>
        </w:rPr>
      </w:pPr>
      <w:r>
        <w:rPr>
          <w:b/>
        </w:rPr>
        <w:t>INTRODUÇÃO</w:t>
      </w:r>
    </w:p>
    <w:p w:rsidR="001250D4" w:rsidRDefault="001250D4" w:rsidP="001250D4">
      <w:pPr>
        <w:tabs>
          <w:tab w:val="left" w:pos="1701"/>
        </w:tabs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br/>
      </w:r>
    </w:p>
    <w:p w:rsidR="001250D4" w:rsidRDefault="001250D4" w:rsidP="00125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851"/>
        <w:jc w:val="both"/>
        <w:rPr>
          <w:shd w:val="clear" w:color="auto" w:fill="FFFFFF"/>
        </w:rPr>
      </w:pPr>
      <w:r>
        <w:t xml:space="preserve">Anualmente, no mundo inteiro, cerca de onze milhões de pessoas são acometidas por queimaduras graves que requerem hospitalização (World Health </w:t>
      </w:r>
      <w:proofErr w:type="spellStart"/>
      <w:r>
        <w:t>Organization</w:t>
      </w:r>
      <w:proofErr w:type="spellEnd"/>
      <w:r>
        <w:t xml:space="preserve"> [WHO], 2008). No Brasil, esse índice aproxima-se de um milhão de pessoas</w:t>
      </w:r>
      <w:r w:rsidR="00543C4C">
        <w:t xml:space="preserve"> e</w:t>
      </w:r>
      <w:r>
        <w:t>, destas,</w:t>
      </w:r>
      <w:r>
        <w:rPr>
          <w:shd w:val="clear" w:color="auto" w:fill="FFFFFF"/>
        </w:rPr>
        <w:t xml:space="preserve"> 200 mil são atendidas em serviços de emergência e 40 mil são hospitalizadas (</w:t>
      </w:r>
      <w:proofErr w:type="gramStart"/>
      <w:r>
        <w:rPr>
          <w:shd w:val="clear" w:color="auto" w:fill="FFFFFF"/>
        </w:rPr>
        <w:t>Vale,</w:t>
      </w:r>
      <w:proofErr w:type="gramEnd"/>
      <w:r>
        <w:rPr>
          <w:shd w:val="clear" w:color="auto" w:fill="FFFFFF"/>
        </w:rPr>
        <w:t xml:space="preserve"> 2005). As vítimas necessitam de cuidados multiprofissionais intensificados e especializados</w:t>
      </w:r>
      <w:r w:rsidR="00543C4C">
        <w:rPr>
          <w:shd w:val="clear" w:color="auto" w:fill="FFFFFF"/>
        </w:rPr>
        <w:t>,</w:t>
      </w:r>
      <w:r>
        <w:rPr>
          <w:shd w:val="clear" w:color="auto" w:fill="FFFFFF"/>
        </w:rPr>
        <w:t xml:space="preserve"> geralmente de longa duração, </w:t>
      </w:r>
      <w:r w:rsidR="00543C4C">
        <w:rPr>
          <w:shd w:val="clear" w:color="auto" w:fill="FFFFFF"/>
        </w:rPr>
        <w:t xml:space="preserve">o que </w:t>
      </w:r>
      <w:r>
        <w:rPr>
          <w:shd w:val="clear" w:color="auto" w:fill="FFFFFF"/>
        </w:rPr>
        <w:t>pode provocar forte impacto econômico (Silva, Almeida, Souza, &amp; Costa, 2008).</w:t>
      </w:r>
    </w:p>
    <w:p w:rsidR="001250D4" w:rsidRDefault="001250D4" w:rsidP="00125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851"/>
        <w:jc w:val="both"/>
      </w:pPr>
      <w:r>
        <w:t>Com o avanço da medicina e maior número de centros especializados em tratamento aos pacientes queimados, o índice de mortalidade das vítimas de queimaduras diminuiu nas últimas décadas (</w:t>
      </w:r>
      <w:proofErr w:type="spellStart"/>
      <w:r>
        <w:t>Brusselaers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al., 2005; </w:t>
      </w:r>
      <w:proofErr w:type="spellStart"/>
      <w:r>
        <w:rPr>
          <w:rFonts w:eastAsia="Calibri"/>
          <w:bCs/>
          <w:lang w:eastAsia="en-US"/>
        </w:rPr>
        <w:t>Ullrich</w:t>
      </w:r>
      <w:proofErr w:type="spellEnd"/>
      <w:r>
        <w:rPr>
          <w:rFonts w:eastAsia="Calibri"/>
          <w:lang w:eastAsia="en-US"/>
        </w:rPr>
        <w:t xml:space="preserve">, </w:t>
      </w:r>
      <w:proofErr w:type="spellStart"/>
      <w:r>
        <w:rPr>
          <w:rFonts w:eastAsia="Calibri"/>
          <w:bCs/>
          <w:lang w:eastAsia="en-US"/>
        </w:rPr>
        <w:t>Askay</w:t>
      </w:r>
      <w:proofErr w:type="spellEnd"/>
      <w:r>
        <w:rPr>
          <w:rFonts w:eastAsia="Calibri"/>
          <w:bCs/>
          <w:lang w:eastAsia="en-US"/>
        </w:rPr>
        <w:t xml:space="preserve"> &amp;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bCs/>
          <w:lang w:eastAsia="en-US"/>
        </w:rPr>
        <w:t>Patterson, 2009)</w:t>
      </w:r>
      <w:r>
        <w:t>. Nos últimos 50 anos, a equipe de profissionais mudou o foco do tratamento, passando da sobrevivência para a reabilitação, com o objetivo de devolv</w:t>
      </w:r>
      <w:r w:rsidR="005710F5">
        <w:t>er os pacientes</w:t>
      </w:r>
      <w:r>
        <w:t xml:space="preserve"> à sociedade com capacidade funcional e qualidade de vida (</w:t>
      </w:r>
      <w:proofErr w:type="spellStart"/>
      <w:r>
        <w:t>Mackey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al., 2009). Esses sobreviventes </w:t>
      </w:r>
      <w:proofErr w:type="gramStart"/>
      <w:r>
        <w:t>deparam-se</w:t>
      </w:r>
      <w:proofErr w:type="gramEnd"/>
      <w:r>
        <w:t xml:space="preserve"> com uma gama enorme de desvantagens físicas e psicossociais, acometendo todos os aspectos da vida humana </w:t>
      </w:r>
      <w:r>
        <w:rPr>
          <w:shd w:val="clear" w:color="auto" w:fill="FFFFFF"/>
        </w:rPr>
        <w:t>(Vale, 2005)</w:t>
      </w:r>
      <w:r>
        <w:t xml:space="preserve">, necessitando de um processo cuidadoso de reabilitação para maximizar sua recuperação após a alta hospitalar (Farrell, </w:t>
      </w:r>
      <w:proofErr w:type="spellStart"/>
      <w:r>
        <w:t>Gamelli</w:t>
      </w:r>
      <w:proofErr w:type="spellEnd"/>
      <w:r>
        <w:t xml:space="preserve">, </w:t>
      </w:r>
      <w:proofErr w:type="spellStart"/>
      <w:r>
        <w:t>Aleem</w:t>
      </w:r>
      <w:proofErr w:type="spellEnd"/>
      <w:r>
        <w:t xml:space="preserve"> &amp; </w:t>
      </w:r>
      <w:proofErr w:type="spellStart"/>
      <w:r>
        <w:t>Sinacore</w:t>
      </w:r>
      <w:proofErr w:type="spellEnd"/>
      <w:r>
        <w:t xml:space="preserve">, 2008; </w:t>
      </w:r>
      <w:r>
        <w:rPr>
          <w:szCs w:val="22"/>
        </w:rPr>
        <w:t>Richard et al., 2009)</w:t>
      </w:r>
      <w:r>
        <w:t xml:space="preserve">. </w:t>
      </w:r>
    </w:p>
    <w:p w:rsidR="001250D4" w:rsidRDefault="001250D4" w:rsidP="001250D4">
      <w:pPr>
        <w:tabs>
          <w:tab w:val="left" w:pos="1701"/>
        </w:tabs>
        <w:spacing w:line="360" w:lineRule="auto"/>
        <w:ind w:firstLine="851"/>
        <w:jc w:val="both"/>
      </w:pPr>
      <w:r>
        <w:t xml:space="preserve">A resposta metabólica sistêmica imediata após uma queimadura leva a um estado de </w:t>
      </w:r>
      <w:proofErr w:type="spellStart"/>
      <w:r>
        <w:t>hipermetabolismo</w:t>
      </w:r>
      <w:proofErr w:type="spellEnd"/>
      <w:r w:rsidR="005710F5">
        <w:t>,</w:t>
      </w:r>
      <w:r>
        <w:t xml:space="preserve"> que pode persistir por até doze meses após o evento inicial (</w:t>
      </w:r>
      <w:r>
        <w:rPr>
          <w:rFonts w:eastAsia="Calibri"/>
          <w:lang w:eastAsia="en-US"/>
        </w:rPr>
        <w:t xml:space="preserve">Hart </w:t>
      </w:r>
      <w:proofErr w:type="gramStart"/>
      <w:r>
        <w:rPr>
          <w:rFonts w:eastAsia="Calibri"/>
          <w:lang w:eastAsia="en-US"/>
        </w:rPr>
        <w:t>et</w:t>
      </w:r>
      <w:proofErr w:type="gramEnd"/>
      <w:r>
        <w:rPr>
          <w:rFonts w:eastAsia="Calibri"/>
          <w:lang w:eastAsia="en-US"/>
        </w:rPr>
        <w:t xml:space="preserve"> al., 2000)</w:t>
      </w:r>
      <w:r>
        <w:t>. Alterações como perda de massa muscular, fraqueza, contraturas (</w:t>
      </w:r>
      <w:r>
        <w:rPr>
          <w:rFonts w:eastAsia="Calibri"/>
          <w:lang w:eastAsia="en-US"/>
        </w:rPr>
        <w:t xml:space="preserve">Hart </w:t>
      </w:r>
      <w:proofErr w:type="gramStart"/>
      <w:r>
        <w:rPr>
          <w:rFonts w:eastAsia="Calibri"/>
          <w:lang w:eastAsia="en-US"/>
        </w:rPr>
        <w:t>et</w:t>
      </w:r>
      <w:proofErr w:type="gramEnd"/>
      <w:r>
        <w:rPr>
          <w:rFonts w:eastAsia="Calibri"/>
          <w:lang w:eastAsia="en-US"/>
        </w:rPr>
        <w:t xml:space="preserve"> al., 2000; </w:t>
      </w:r>
      <w:r>
        <w:rPr>
          <w:rFonts w:eastAsia="Calibri"/>
          <w:bCs/>
          <w:lang w:eastAsia="en-US"/>
        </w:rPr>
        <w:t>Diego et al., 2013</w:t>
      </w:r>
      <w:r>
        <w:rPr>
          <w:rFonts w:eastAsia="Calibri"/>
          <w:lang w:eastAsia="en-US"/>
        </w:rPr>
        <w:t>)</w:t>
      </w:r>
      <w:r>
        <w:t>, diminuição da mobilidade articular, alterações sensoriais, cicatrização hipertrófica (</w:t>
      </w:r>
      <w:proofErr w:type="spellStart"/>
      <w:r>
        <w:rPr>
          <w:rFonts w:eastAsia="Calibri"/>
          <w:bCs/>
          <w:lang w:eastAsia="en-US"/>
        </w:rPr>
        <w:t>Ripper</w:t>
      </w:r>
      <w:proofErr w:type="spellEnd"/>
      <w:r>
        <w:rPr>
          <w:rFonts w:eastAsia="Calibri"/>
          <w:bCs/>
          <w:lang w:eastAsia="en-US"/>
        </w:rPr>
        <w:t xml:space="preserve">, </w:t>
      </w:r>
      <w:proofErr w:type="spellStart"/>
      <w:r>
        <w:rPr>
          <w:rFonts w:eastAsia="Calibri"/>
          <w:bCs/>
          <w:lang w:eastAsia="en-US"/>
        </w:rPr>
        <w:t>Renneberg</w:t>
      </w:r>
      <w:proofErr w:type="spellEnd"/>
      <w:r>
        <w:rPr>
          <w:rFonts w:eastAsia="Calibri"/>
          <w:bCs/>
          <w:lang w:eastAsia="en-US"/>
        </w:rPr>
        <w:t xml:space="preserve">, </w:t>
      </w:r>
      <w:proofErr w:type="spellStart"/>
      <w:r>
        <w:rPr>
          <w:rFonts w:eastAsia="Calibri"/>
          <w:bCs/>
          <w:lang w:eastAsia="en-US"/>
        </w:rPr>
        <w:t>Landmann</w:t>
      </w:r>
      <w:proofErr w:type="spellEnd"/>
      <w:r>
        <w:rPr>
          <w:rFonts w:eastAsia="Calibri"/>
          <w:bCs/>
          <w:lang w:eastAsia="en-US"/>
        </w:rPr>
        <w:t xml:space="preserve">, </w:t>
      </w:r>
      <w:proofErr w:type="spellStart"/>
      <w:r>
        <w:rPr>
          <w:rFonts w:eastAsia="Calibri"/>
          <w:bCs/>
          <w:lang w:eastAsia="en-US"/>
        </w:rPr>
        <w:t>Weigel</w:t>
      </w:r>
      <w:proofErr w:type="spellEnd"/>
      <w:r>
        <w:rPr>
          <w:rFonts w:eastAsia="Calibri"/>
          <w:bCs/>
          <w:lang w:eastAsia="en-US"/>
        </w:rPr>
        <w:t xml:space="preserve"> &amp; </w:t>
      </w:r>
      <w:proofErr w:type="spellStart"/>
      <w:r>
        <w:rPr>
          <w:rFonts w:eastAsia="Calibri"/>
          <w:bCs/>
          <w:lang w:eastAsia="en-US"/>
        </w:rPr>
        <w:t>Germann</w:t>
      </w:r>
      <w:proofErr w:type="spellEnd"/>
      <w:r>
        <w:rPr>
          <w:rFonts w:eastAsia="Calibri"/>
          <w:bCs/>
          <w:lang w:eastAsia="en-US"/>
        </w:rPr>
        <w:t>, 2009)</w:t>
      </w:r>
      <w:r>
        <w:t>, além de sintomas psicológicos, estresse, depressão (</w:t>
      </w:r>
      <w:proofErr w:type="spellStart"/>
      <w:r>
        <w:rPr>
          <w:rFonts w:eastAsia="Calibri"/>
          <w:bCs/>
          <w:lang w:eastAsia="en-US"/>
        </w:rPr>
        <w:t>Baur</w:t>
      </w:r>
      <w:proofErr w:type="spellEnd"/>
      <w:r>
        <w:rPr>
          <w:rFonts w:eastAsia="Calibri"/>
          <w:bCs/>
          <w:lang w:eastAsia="en-US"/>
        </w:rPr>
        <w:t xml:space="preserve">, </w:t>
      </w:r>
      <w:proofErr w:type="spellStart"/>
      <w:r>
        <w:rPr>
          <w:rFonts w:eastAsia="Calibri"/>
          <w:bCs/>
          <w:lang w:eastAsia="en-US"/>
        </w:rPr>
        <w:t>Hardy</w:t>
      </w:r>
      <w:proofErr w:type="spellEnd"/>
      <w:r>
        <w:rPr>
          <w:rFonts w:eastAsia="Calibri"/>
          <w:bCs/>
          <w:lang w:eastAsia="en-US"/>
        </w:rPr>
        <w:t xml:space="preserve"> &amp; Van </w:t>
      </w:r>
      <w:proofErr w:type="spellStart"/>
      <w:r>
        <w:rPr>
          <w:rFonts w:eastAsia="Calibri"/>
          <w:bCs/>
          <w:lang w:eastAsia="en-US"/>
        </w:rPr>
        <w:t>Dorsten</w:t>
      </w:r>
      <w:proofErr w:type="spellEnd"/>
      <w:r>
        <w:rPr>
          <w:rFonts w:eastAsia="Calibri"/>
          <w:bCs/>
          <w:lang w:eastAsia="en-US"/>
        </w:rPr>
        <w:t>, 1998)</w:t>
      </w:r>
      <w:r w:rsidR="005710F5">
        <w:rPr>
          <w:rFonts w:eastAsia="Calibri"/>
          <w:bCs/>
          <w:lang w:eastAsia="en-US"/>
        </w:rPr>
        <w:t>,</w:t>
      </w:r>
      <w:r>
        <w:rPr>
          <w:vertAlign w:val="superscript"/>
        </w:rPr>
        <w:t xml:space="preserve"> </w:t>
      </w:r>
      <w:r>
        <w:t xml:space="preserve"> levam </w:t>
      </w:r>
      <w:r w:rsidR="005710F5">
        <w:t>à</w:t>
      </w:r>
      <w:r>
        <w:t xml:space="preserve">  limitação nas atividades funcionais  e físicas (</w:t>
      </w:r>
      <w:r>
        <w:rPr>
          <w:rFonts w:eastAsia="Calibri"/>
          <w:lang w:eastAsia="en-US"/>
        </w:rPr>
        <w:t xml:space="preserve">Hart et al., 2000; </w:t>
      </w:r>
      <w:r>
        <w:rPr>
          <w:rFonts w:eastAsia="Calibri"/>
          <w:bCs/>
          <w:lang w:eastAsia="en-US"/>
        </w:rPr>
        <w:t xml:space="preserve">Diego et al., 2013; </w:t>
      </w:r>
      <w:proofErr w:type="spellStart"/>
      <w:r>
        <w:rPr>
          <w:rFonts w:eastAsia="Calibri"/>
          <w:bCs/>
          <w:lang w:eastAsia="en-US"/>
        </w:rPr>
        <w:t>Baur</w:t>
      </w:r>
      <w:proofErr w:type="spellEnd"/>
      <w:r>
        <w:rPr>
          <w:rFonts w:eastAsia="Calibri"/>
          <w:bCs/>
          <w:lang w:eastAsia="en-US"/>
        </w:rPr>
        <w:t xml:space="preserve"> et al., 1998; </w:t>
      </w:r>
      <w:proofErr w:type="spellStart"/>
      <w:r>
        <w:rPr>
          <w:rFonts w:eastAsia="Calibri"/>
          <w:lang w:eastAsia="en-US"/>
        </w:rPr>
        <w:t>Parry</w:t>
      </w:r>
      <w:proofErr w:type="spellEnd"/>
      <w:r>
        <w:rPr>
          <w:rFonts w:eastAsia="Calibri"/>
          <w:lang w:eastAsia="en-US"/>
        </w:rPr>
        <w:t xml:space="preserve">, Walker, </w:t>
      </w:r>
      <w:proofErr w:type="spellStart"/>
      <w:r>
        <w:rPr>
          <w:rFonts w:eastAsia="Calibri"/>
          <w:lang w:eastAsia="en-US"/>
        </w:rPr>
        <w:t>Niszczak</w:t>
      </w:r>
      <w:proofErr w:type="spellEnd"/>
      <w:r>
        <w:rPr>
          <w:rFonts w:eastAsia="Calibri"/>
          <w:lang w:eastAsia="en-US"/>
        </w:rPr>
        <w:t>, Palmieri &amp; Greenhalgh, 2010)</w:t>
      </w:r>
      <w:r>
        <w:t xml:space="preserve">. Os benefícios da atividade física em indivíduos saudáveis são inúmeros; para a população que sofreu queimaduras, a atividade física é essencial em todas as fases da reabilitação (Baldwin &amp; Li, 2013). Em um estudo realizado no </w:t>
      </w:r>
      <w:proofErr w:type="spellStart"/>
      <w:r>
        <w:t>Shiners</w:t>
      </w:r>
      <w:proofErr w:type="spellEnd"/>
      <w:r>
        <w:t xml:space="preserve"> Hospital</w:t>
      </w:r>
      <w:r w:rsidR="005710F5">
        <w:t>,</w:t>
      </w:r>
      <w:r>
        <w:t xml:space="preserve"> observou-se que a prática de atividade física supervisionada, além de melhorar </w:t>
      </w:r>
      <w:r>
        <w:lastRenderedPageBreak/>
        <w:t>a função pulmonar, contribuiu para a diminuição de necessidade de cirurgias reparadoras (</w:t>
      </w:r>
      <w:proofErr w:type="spellStart"/>
      <w:r>
        <w:rPr>
          <w:rFonts w:eastAsiaTheme="minorHAnsi"/>
          <w:szCs w:val="16"/>
          <w:lang w:eastAsia="en-US"/>
        </w:rPr>
        <w:t>Celis</w:t>
      </w:r>
      <w:proofErr w:type="spellEnd"/>
      <w:r>
        <w:rPr>
          <w:rFonts w:eastAsiaTheme="minorHAnsi"/>
          <w:szCs w:val="16"/>
          <w:lang w:eastAsia="en-US"/>
        </w:rPr>
        <w:t xml:space="preserve">, </w:t>
      </w:r>
      <w:proofErr w:type="spellStart"/>
      <w:r>
        <w:rPr>
          <w:rFonts w:eastAsiaTheme="minorHAnsi"/>
          <w:szCs w:val="16"/>
          <w:lang w:eastAsia="en-US"/>
        </w:rPr>
        <w:t>Suman</w:t>
      </w:r>
      <w:proofErr w:type="spellEnd"/>
      <w:r>
        <w:rPr>
          <w:rFonts w:eastAsiaTheme="minorHAnsi"/>
          <w:szCs w:val="16"/>
          <w:lang w:eastAsia="en-US"/>
        </w:rPr>
        <w:t xml:space="preserve">, Huang, </w:t>
      </w:r>
      <w:proofErr w:type="spellStart"/>
      <w:r>
        <w:rPr>
          <w:rFonts w:eastAsiaTheme="minorHAnsi"/>
          <w:szCs w:val="16"/>
          <w:lang w:eastAsia="en-US"/>
        </w:rPr>
        <w:t>Yen</w:t>
      </w:r>
      <w:proofErr w:type="spellEnd"/>
      <w:r>
        <w:rPr>
          <w:rFonts w:eastAsiaTheme="minorHAnsi"/>
          <w:szCs w:val="16"/>
          <w:lang w:eastAsia="en-US"/>
        </w:rPr>
        <w:t xml:space="preserve"> &amp; </w:t>
      </w:r>
      <w:proofErr w:type="spellStart"/>
      <w:r>
        <w:rPr>
          <w:rFonts w:eastAsiaTheme="minorHAnsi"/>
          <w:szCs w:val="16"/>
          <w:lang w:eastAsia="en-US"/>
        </w:rPr>
        <w:t>Herndon</w:t>
      </w:r>
      <w:proofErr w:type="spellEnd"/>
      <w:r>
        <w:rPr>
          <w:rFonts w:eastAsiaTheme="minorHAnsi"/>
          <w:szCs w:val="16"/>
          <w:lang w:eastAsia="en-US"/>
        </w:rPr>
        <w:t>, 2013)</w:t>
      </w:r>
      <w:r>
        <w:t>.</w:t>
      </w:r>
    </w:p>
    <w:p w:rsidR="001250D4" w:rsidRDefault="001250D4" w:rsidP="001250D4">
      <w:pPr>
        <w:pStyle w:val="Pargrafo"/>
        <w:tabs>
          <w:tab w:val="left" w:leader="dot" w:pos="8789"/>
        </w:tabs>
        <w:spacing w:line="36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A dor é outro sério problema ao sobrevivente, podendo persistir por longos meses até anos após a queimadura (</w:t>
      </w:r>
      <w:r>
        <w:rPr>
          <w:rFonts w:ascii="Times New Roman" w:eastAsia="Calibri" w:hAnsi="Times New Roman"/>
          <w:bCs/>
          <w:lang w:eastAsia="en-US"/>
        </w:rPr>
        <w:t>Ullrich et al., 2009</w:t>
      </w:r>
      <w:r>
        <w:rPr>
          <w:rFonts w:ascii="Times New Roman" w:hAnsi="Times New Roman"/>
        </w:rPr>
        <w:t>; Choinière, 1994). A função pulmonar também pode estar comprometida, resultando em capacidade aeróbica diminuída</w:t>
      </w:r>
      <w:r w:rsidR="005710F5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permanecendo assim por longos períodos (Grisbook, Wallman, Elliott, Wood, Edgar &amp; Reid, 2012). O impacto no sistema cardiovascular é conhecido, com aumento do débito cardíaco e ventilação minuto (</w:t>
      </w:r>
      <w:r>
        <w:rPr>
          <w:rFonts w:ascii="Times New Roman" w:hAnsi="Times New Roman"/>
          <w:szCs w:val="24"/>
        </w:rPr>
        <w:t>Johnson, 1994)</w:t>
      </w:r>
      <w:r>
        <w:rPr>
          <w:rFonts w:ascii="Times New Roman" w:hAnsi="Times New Roman"/>
        </w:rPr>
        <w:t xml:space="preserve">, </w:t>
      </w:r>
      <w:r w:rsidR="005710F5">
        <w:rPr>
          <w:rFonts w:ascii="Times New Roman" w:hAnsi="Times New Roman"/>
        </w:rPr>
        <w:t xml:space="preserve">e </w:t>
      </w:r>
      <w:r>
        <w:rPr>
          <w:rFonts w:ascii="Times New Roman" w:hAnsi="Times New Roman"/>
        </w:rPr>
        <w:t>a frequência cardíaca pode estar elevada por até dois anos após o evento inicial (</w:t>
      </w:r>
      <w:r>
        <w:rPr>
          <w:rFonts w:ascii="Times New Roman" w:hAnsi="Times New Roman"/>
          <w:szCs w:val="24"/>
        </w:rPr>
        <w:t>Jeschke et al., 2008)</w:t>
      </w:r>
      <w:r>
        <w:rPr>
          <w:rFonts w:ascii="Times New Roman" w:hAnsi="Times New Roman"/>
        </w:rPr>
        <w:t>.</w:t>
      </w:r>
    </w:p>
    <w:p w:rsidR="001250D4" w:rsidRDefault="001250D4" w:rsidP="001250D4">
      <w:pPr>
        <w:tabs>
          <w:tab w:val="left" w:pos="1701"/>
        </w:tabs>
        <w:spacing w:line="360" w:lineRule="auto"/>
        <w:ind w:firstLine="851"/>
        <w:jc w:val="both"/>
      </w:pPr>
      <w:r>
        <w:t>A recuperação plena desse</w:t>
      </w:r>
      <w:r w:rsidR="005710F5">
        <w:t>s</w:t>
      </w:r>
      <w:r>
        <w:t xml:space="preserve"> indivíduo</w:t>
      </w:r>
      <w:r w:rsidR="005710F5">
        <w:t>s</w:t>
      </w:r>
      <w:r>
        <w:t xml:space="preserve"> é um processo lento e existem cuidados importantes que não podem ser negligenciados para que possam retornar às suas atividades funcionais, físicas e laborais o mais </w:t>
      </w:r>
      <w:r w:rsidR="005710F5">
        <w:t xml:space="preserve">rápido </w:t>
      </w:r>
      <w:r>
        <w:t xml:space="preserve">possível (Farrell </w:t>
      </w:r>
      <w:proofErr w:type="gramStart"/>
      <w:r>
        <w:t>et</w:t>
      </w:r>
      <w:proofErr w:type="gramEnd"/>
      <w:r>
        <w:t xml:space="preserve"> al., 2008; </w:t>
      </w:r>
      <w:r>
        <w:rPr>
          <w:szCs w:val="22"/>
        </w:rPr>
        <w:t>Richard et al., 2009)</w:t>
      </w:r>
      <w:r>
        <w:t>. Tendo em vista a escassez de estudos sobre queimaduras e suas consequências no Brasil, bem como a elevada incidência des</w:t>
      </w:r>
      <w:r w:rsidR="005710F5">
        <w:t>s</w:t>
      </w:r>
      <w:r>
        <w:t>a ocorrência no cenário mundial, o estudo possui relevância científica, proporcionando subsídios para a elaboração de políticas educativas populacionais futuras, visando à prevenção de queimaduras.</w:t>
      </w:r>
    </w:p>
    <w:p w:rsidR="001250D4" w:rsidRDefault="001250D4" w:rsidP="001250D4">
      <w:pPr>
        <w:tabs>
          <w:tab w:val="left" w:pos="1701"/>
        </w:tabs>
        <w:spacing w:line="360" w:lineRule="auto"/>
        <w:ind w:firstLine="851"/>
        <w:jc w:val="both"/>
      </w:pPr>
      <w:r>
        <w:t xml:space="preserve">O objetivo deste estudo foi avaliar a capacidade aeróbica, o nível de atividade física e </w:t>
      </w:r>
      <w:r w:rsidR="005710F5">
        <w:t xml:space="preserve">a </w:t>
      </w:r>
      <w:r>
        <w:t>dor em adultos</w:t>
      </w:r>
      <w:r w:rsidR="005710F5">
        <w:t>,</w:t>
      </w:r>
      <w:r>
        <w:t xml:space="preserve"> vítimas de queimaduras</w:t>
      </w:r>
      <w:r w:rsidR="005710F5">
        <w:t>,</w:t>
      </w:r>
      <w:r>
        <w:t xml:space="preserve"> após alta hospitalar, comparando as características de acordo com a gravidade da lesão.</w:t>
      </w:r>
    </w:p>
    <w:p w:rsidR="001250D4" w:rsidRDefault="001250D4" w:rsidP="00125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p w:rsidR="001250D4" w:rsidRDefault="001250D4" w:rsidP="001250D4">
      <w:pPr>
        <w:pStyle w:val="Pargrafo"/>
        <w:tabs>
          <w:tab w:val="left" w:pos="708"/>
        </w:tabs>
        <w:spacing w:line="360" w:lineRule="auto"/>
        <w:ind w:firstLine="0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MATERIAIS e  MÉTODOS</w:t>
      </w:r>
    </w:p>
    <w:p w:rsidR="001250D4" w:rsidRDefault="001250D4" w:rsidP="001250D4">
      <w:pPr>
        <w:pStyle w:val="Pargrafo"/>
        <w:tabs>
          <w:tab w:val="left" w:pos="708"/>
        </w:tabs>
        <w:spacing w:line="360" w:lineRule="auto"/>
        <w:ind w:firstLine="0"/>
        <w:jc w:val="left"/>
        <w:rPr>
          <w:rFonts w:ascii="Times New Roman" w:hAnsi="Times New Roman"/>
          <w:b/>
        </w:rPr>
      </w:pPr>
    </w:p>
    <w:p w:rsidR="001250D4" w:rsidRDefault="001250D4" w:rsidP="001250D4">
      <w:pPr>
        <w:pStyle w:val="Pargrafo"/>
        <w:tabs>
          <w:tab w:val="left" w:pos="708"/>
        </w:tabs>
        <w:spacing w:line="360" w:lineRule="auto"/>
        <w:ind w:firstLine="0"/>
        <w:jc w:val="lef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Tipo de estudo</w:t>
      </w:r>
    </w:p>
    <w:p w:rsidR="001250D4" w:rsidRDefault="005710F5" w:rsidP="001250D4">
      <w:pPr>
        <w:pStyle w:val="Pargrafo"/>
        <w:tabs>
          <w:tab w:val="left" w:pos="708"/>
        </w:tabs>
        <w:spacing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  <w:szCs w:val="24"/>
          <w:shd w:val="clear" w:color="auto" w:fill="FFFFFF"/>
        </w:rPr>
        <w:t>Trata-se de um e</w:t>
      </w:r>
      <w:r w:rsidR="001250D4">
        <w:rPr>
          <w:rFonts w:ascii="Times New Roman" w:hAnsi="Times New Roman"/>
          <w:szCs w:val="24"/>
          <w:shd w:val="clear" w:color="auto" w:fill="FFFFFF"/>
        </w:rPr>
        <w:t>studo descritivo, transversal, de caráter exploratório e metodologia quantitativa</w:t>
      </w:r>
      <w:r w:rsidR="001250D4">
        <w:rPr>
          <w:rFonts w:ascii="Times New Roman" w:hAnsi="Times New Roman"/>
        </w:rPr>
        <w:t xml:space="preserve"> aprovado pelo Comitê de Ética em Pesquisa da Universidade Estadual de Londrina (UEL), Londrina, PR (Parecer n</w:t>
      </w:r>
      <w:r w:rsidR="001250D4">
        <w:rPr>
          <w:rFonts w:ascii="Times New Roman" w:hAnsi="Times New Roman"/>
          <w:vertAlign w:val="superscript"/>
        </w:rPr>
        <w:t>o.</w:t>
      </w:r>
      <w:r w:rsidR="001250D4">
        <w:rPr>
          <w:rFonts w:ascii="Times New Roman" w:hAnsi="Times New Roman"/>
        </w:rPr>
        <w:t xml:space="preserve"> 104/2013). </w:t>
      </w:r>
    </w:p>
    <w:p w:rsidR="001250D4" w:rsidRDefault="001250D4" w:rsidP="001250D4">
      <w:pPr>
        <w:pStyle w:val="Pargrafo"/>
        <w:tabs>
          <w:tab w:val="left" w:pos="708"/>
        </w:tabs>
        <w:spacing w:line="360" w:lineRule="auto"/>
        <w:ind w:firstLine="0"/>
        <w:rPr>
          <w:rFonts w:ascii="Times New Roman" w:hAnsi="Times New Roman"/>
          <w:i/>
        </w:rPr>
      </w:pPr>
    </w:p>
    <w:p w:rsidR="001250D4" w:rsidRDefault="001250D4" w:rsidP="001250D4">
      <w:pPr>
        <w:pStyle w:val="Pargrafo"/>
        <w:tabs>
          <w:tab w:val="left" w:pos="708"/>
        </w:tabs>
        <w:spacing w:line="360" w:lineRule="auto"/>
        <w:ind w:firstLine="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Local, período de realização e população de estudo</w:t>
      </w:r>
    </w:p>
    <w:p w:rsidR="001250D4" w:rsidRDefault="001250D4" w:rsidP="00125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ab/>
        <w:t xml:space="preserve">As avaliações foram realizadas no Ambulatório do Centro de Tratamento de Queimados do Hospital Universitário de Londrina (CTQ/HU/UEL), no período de outubro de 2013 a julho de 2014. O CTQ/HU/UEL conta com doze leitos de enfermaria, seis de terapia intensiva, além de um centro cirúrgico próprio e um ambulatório para reavaliações após alta; recebe pacientes de todo o Paraná, </w:t>
      </w:r>
      <w:r w:rsidR="005710F5">
        <w:t xml:space="preserve">de </w:t>
      </w:r>
      <w:r>
        <w:t xml:space="preserve">cidades próximas </w:t>
      </w:r>
      <w:r w:rsidR="005710F5">
        <w:t>à</w:t>
      </w:r>
      <w:r>
        <w:t xml:space="preserve"> divisa </w:t>
      </w:r>
      <w:r>
        <w:lastRenderedPageBreak/>
        <w:t>dos estados de São Paulo e Santa Catarina e até das fronteiras do Paraguai. Por se tratar de um Centro de Referência</w:t>
      </w:r>
      <w:r w:rsidR="005710F5">
        <w:t>,</w:t>
      </w:r>
      <w:r>
        <w:t xml:space="preserve"> interna apenas pacientes com queimaduras moderadas a graves. Foram consideradas </w:t>
      </w:r>
      <w:proofErr w:type="gramStart"/>
      <w:r>
        <w:t>queimaduras moderadas ou médio</w:t>
      </w:r>
      <w:r w:rsidR="00682EBA">
        <w:t>s</w:t>
      </w:r>
      <w:proofErr w:type="gramEnd"/>
      <w:r>
        <w:t xml:space="preserve"> queimados os indivíduos com queimadura de segundo grau com 10 a 20% da superfície corpórea queimada (SCQ), ou terceiro grau </w:t>
      </w:r>
      <w:r w:rsidR="00AE02CC">
        <w:t xml:space="preserve">com </w:t>
      </w:r>
      <w:r>
        <w:t xml:space="preserve">até 10% </w:t>
      </w:r>
      <w:r w:rsidR="00AE02CC">
        <w:t xml:space="preserve">da </w:t>
      </w:r>
      <w:r>
        <w:t>SCQ; queimaduras graves ou grande</w:t>
      </w:r>
      <w:r w:rsidR="00682EBA">
        <w:t>s</w:t>
      </w:r>
      <w:r>
        <w:t xml:space="preserve"> queimados foram aqueles acima de 20% de SCQ de segundo grau ou acima de 10% </w:t>
      </w:r>
      <w:r w:rsidR="00AE02CC">
        <w:t xml:space="preserve">de </w:t>
      </w:r>
      <w:r>
        <w:t>SCQ de terceiro grau de profundidade, bem como lesões inalatórias e queimaduras elétricas independente</w:t>
      </w:r>
      <w:r w:rsidR="00AE02CC">
        <w:t>s</w:t>
      </w:r>
      <w:r>
        <w:t xml:space="preserve"> da SCQ (Johnson, 1994). </w:t>
      </w:r>
      <w:r>
        <w:rPr>
          <w:rFonts w:cs="Arial"/>
        </w:rPr>
        <w:t>A amostra de conveniência (n= 60) foi obtida a partir da seleção de indivíduos adultos (</w:t>
      </w:r>
      <w:r w:rsidR="00AE02CC">
        <w:rPr>
          <w:rFonts w:cs="Arial"/>
        </w:rPr>
        <w:t xml:space="preserve">de </w:t>
      </w:r>
      <w:r>
        <w:rPr>
          <w:rFonts w:cs="Arial"/>
        </w:rPr>
        <w:t xml:space="preserve">20 a 59 anos), </w:t>
      </w:r>
      <w:r>
        <w:t>por meio do levantamento de dados referentes aos pacientes que ficaram internados no CTQ/HU/UEL, com diagnóstico de queimaduras, no período de 01/10/2011 a 31/01/2014 e que compareceram ao retorno ambulatorial.</w:t>
      </w:r>
    </w:p>
    <w:p w:rsidR="001250D4" w:rsidRDefault="001250D4" w:rsidP="00125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i/>
        </w:rPr>
      </w:pPr>
    </w:p>
    <w:p w:rsidR="001250D4" w:rsidRDefault="001250D4" w:rsidP="00125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i/>
        </w:rPr>
      </w:pPr>
      <w:r>
        <w:rPr>
          <w:i/>
        </w:rPr>
        <w:t>Critérios de inclusão e exclusão</w:t>
      </w:r>
    </w:p>
    <w:p w:rsidR="001250D4" w:rsidRDefault="001250D4" w:rsidP="001250D4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8"/>
        <w:jc w:val="both"/>
      </w:pPr>
      <w:r>
        <w:t>Foram incluídos adultos</w:t>
      </w:r>
      <w:r w:rsidR="00AE02CC">
        <w:t>,</w:t>
      </w:r>
      <w:r>
        <w:t xml:space="preserve"> vítimas de queimaduras moderadas a graves; com período mínimo de seis meses e máximo de dois anos após alta hospitalar; idade entre 20 </w:t>
      </w:r>
      <w:r w:rsidR="00AE02CC">
        <w:t xml:space="preserve">e </w:t>
      </w:r>
      <w:r>
        <w:t xml:space="preserve">59 anos, de ambos os sexos; que permaneciam em pé sem auxílio e compreendiam comandos verbais simples; que concordaram em participar </w:t>
      </w:r>
      <w:r w:rsidR="00AE02CC">
        <w:t xml:space="preserve">da pesquisa </w:t>
      </w:r>
      <w:r>
        <w:t>e assinaram o termo de consentimento livre e esclarecido. Foram excluídos os que foram a óbito.</w:t>
      </w:r>
    </w:p>
    <w:p w:rsidR="001250D4" w:rsidRDefault="001250D4" w:rsidP="001250D4">
      <w:pPr>
        <w:pStyle w:val="Pargrafo"/>
        <w:tabs>
          <w:tab w:val="left" w:pos="709"/>
        </w:tabs>
        <w:spacing w:line="360" w:lineRule="auto"/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1250D4" w:rsidRDefault="001250D4" w:rsidP="001250D4">
      <w:pPr>
        <w:pStyle w:val="Pargrafo"/>
        <w:spacing w:line="36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Procedimento para coleta de dados</w:t>
      </w:r>
    </w:p>
    <w:p w:rsidR="001250D4" w:rsidRDefault="001250D4" w:rsidP="001250D4">
      <w:pPr>
        <w:pStyle w:val="Pargrafo"/>
        <w:spacing w:line="360" w:lineRule="auto"/>
        <w:ind w:firstLine="0"/>
        <w:rPr>
          <w:rFonts w:ascii="Times New Roman" w:hAnsi="Times New Roman"/>
        </w:rPr>
      </w:pPr>
    </w:p>
    <w:p w:rsidR="001250D4" w:rsidRDefault="001250D4" w:rsidP="001250D4">
      <w:pPr>
        <w:pStyle w:val="Pargrafo"/>
        <w:spacing w:line="360" w:lineRule="auto"/>
        <w:ind w:firstLine="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Caracterização da Amostra</w:t>
      </w:r>
    </w:p>
    <w:p w:rsidR="001250D4" w:rsidRDefault="001250D4" w:rsidP="00125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</w:pPr>
      <w:r>
        <w:t>Realizou-se levantamento</w:t>
      </w:r>
      <w:r w:rsidR="00AE02CC">
        <w:t>,</w:t>
      </w:r>
      <w:r>
        <w:t xml:space="preserve"> em prontuários e no banco de dados da equipe de fisioterapia do CTQ/HU/UEL</w:t>
      </w:r>
      <w:r w:rsidR="00AE02CC">
        <w:t>,</w:t>
      </w:r>
      <w:r>
        <w:t xml:space="preserve"> das informações socioeconômicas (sexo, idade, escolaridade, estrato social); </w:t>
      </w:r>
      <w:r w:rsidR="00AE02CC">
        <w:t xml:space="preserve">das informações </w:t>
      </w:r>
      <w:r>
        <w:t xml:space="preserve">relacionadas à queimadura (etiologia, motivo, local onde ocorreu, extensão, profundidade e gravidade da queimadura, lesão inalatória) e </w:t>
      </w:r>
      <w:r w:rsidR="004F1228">
        <w:t xml:space="preserve">de </w:t>
      </w:r>
      <w:r>
        <w:t xml:space="preserve">dados do período de permanência hospitalar e </w:t>
      </w:r>
      <w:r w:rsidR="004F1228">
        <w:t>d</w:t>
      </w:r>
      <w:r>
        <w:t xml:space="preserve">o tempo após alta. Informações relacionadas à realização de fisioterapia ambulatorial e </w:t>
      </w:r>
      <w:r w:rsidR="004F1228">
        <w:t xml:space="preserve">ao </w:t>
      </w:r>
      <w:r>
        <w:t>uso de órtese/malha após a alta hospitalar foram coletadas no dia da avaliação.</w:t>
      </w:r>
    </w:p>
    <w:p w:rsidR="001250D4" w:rsidRDefault="001250D4" w:rsidP="00125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i/>
        </w:rPr>
      </w:pPr>
    </w:p>
    <w:p w:rsidR="001250D4" w:rsidRDefault="001250D4" w:rsidP="00125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i/>
        </w:rPr>
      </w:pPr>
      <w:r>
        <w:rPr>
          <w:i/>
        </w:rPr>
        <w:t>Dados Antropométricos</w:t>
      </w:r>
    </w:p>
    <w:p w:rsidR="001250D4" w:rsidRDefault="001250D4" w:rsidP="001250D4">
      <w:pPr>
        <w:pStyle w:val="Pargrafo"/>
        <w:spacing w:line="36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A mensuração dos dados antropométricos e do índice de massa corporal (IMC) ocorreu por meio de uma balança biométrica (</w:t>
      </w:r>
      <w:r>
        <w:rPr>
          <w:rFonts w:ascii="Times New Roman" w:hAnsi="Times New Roman"/>
          <w:i/>
        </w:rPr>
        <w:t>Balmak</w:t>
      </w:r>
      <w:r>
        <w:rPr>
          <w:rFonts w:ascii="Times New Roman" w:hAnsi="Times New Roman"/>
          <w:i/>
          <w:vertAlign w:val="superscript"/>
        </w:rPr>
        <w:t>®</w:t>
      </w:r>
      <w:r>
        <w:rPr>
          <w:rFonts w:ascii="Times New Roman" w:hAnsi="Times New Roman"/>
          <w:i/>
        </w:rPr>
        <w:t xml:space="preserve">, número de série 1.181.907-8, </w:t>
      </w:r>
      <w:r>
        <w:rPr>
          <w:rFonts w:ascii="Times New Roman" w:hAnsi="Times New Roman"/>
          <w:i/>
        </w:rPr>
        <w:lastRenderedPageBreak/>
        <w:t>ano de fabricação 2005</w:t>
      </w:r>
      <w:r>
        <w:rPr>
          <w:rFonts w:ascii="Times New Roman" w:hAnsi="Times New Roman"/>
        </w:rPr>
        <w:t>) com o indivíduo descalço e usando o mínimo de roupa, na posição ereta e cabeça alinhada. A massa corporal foi obtida em quilos (Kg) e a estatura em metros (m). O IMC resultou do cálculo da divisão da massa corporal pelo quadrado da altura (Willett, 1998).</w:t>
      </w:r>
    </w:p>
    <w:p w:rsidR="001250D4" w:rsidRDefault="001250D4" w:rsidP="001250D4">
      <w:pPr>
        <w:pStyle w:val="Pargrafo"/>
        <w:spacing w:line="360" w:lineRule="auto"/>
        <w:ind w:firstLine="0"/>
        <w:rPr>
          <w:rFonts w:ascii="Times New Roman" w:hAnsi="Times New Roman"/>
          <w:i/>
        </w:rPr>
      </w:pPr>
    </w:p>
    <w:p w:rsidR="001250D4" w:rsidRDefault="001250D4" w:rsidP="001250D4">
      <w:pPr>
        <w:pStyle w:val="Pargrafo"/>
        <w:spacing w:line="360" w:lineRule="auto"/>
        <w:ind w:firstLine="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Teste de Caminhada de 6 minutos (TC6min)</w:t>
      </w:r>
    </w:p>
    <w:p w:rsidR="001250D4" w:rsidRDefault="001250D4" w:rsidP="001250D4">
      <w:pPr>
        <w:pStyle w:val="Pargrafo"/>
        <w:tabs>
          <w:tab w:val="left" w:pos="709"/>
        </w:tabs>
        <w:spacing w:line="36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A capacidade aeróbica foi mensurada pelo TC6min e os participantes realizaram dois testes, com um intervalo entre eles, de acordo com as recomendações do </w:t>
      </w:r>
      <w:r>
        <w:rPr>
          <w:rFonts w:ascii="Times New Roman" w:hAnsi="Times New Roman"/>
          <w:i/>
        </w:rPr>
        <w:t xml:space="preserve">American Thoracic Society </w:t>
      </w:r>
      <w:r>
        <w:rPr>
          <w:rFonts w:ascii="Times New Roman" w:hAnsi="Times New Roman"/>
        </w:rPr>
        <w:t>(ATS, 2002). Os indivíduos caminharam por seis minutos em um corredor de 30 metros e o ponto de início e o final fo</w:t>
      </w:r>
      <w:r w:rsidR="004F1228">
        <w:rPr>
          <w:rFonts w:ascii="Times New Roman" w:hAnsi="Times New Roman"/>
        </w:rPr>
        <w:t>ram</w:t>
      </w:r>
      <w:r>
        <w:rPr>
          <w:rFonts w:ascii="Times New Roman" w:hAnsi="Times New Roman"/>
        </w:rPr>
        <w:t xml:space="preserve"> delimitado</w:t>
      </w:r>
      <w:r w:rsidR="004F1228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por cones de plástico</w:t>
      </w:r>
      <w:r w:rsidR="004F1228">
        <w:rPr>
          <w:rFonts w:ascii="Times New Roman" w:hAnsi="Times New Roman"/>
        </w:rPr>
        <w:t>. O</w:t>
      </w:r>
      <w:r>
        <w:rPr>
          <w:rFonts w:ascii="Times New Roman" w:hAnsi="Times New Roman"/>
        </w:rPr>
        <w:t>s examinadores informavam aos participantes o tempo que faltava para completar os seis minutos</w:t>
      </w:r>
      <w:r w:rsidR="004F122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e frases de incentivo padronizadas (ATS, 2002) eram ditas durante o teste. Os examinadores eram fisioterapeutas treinados previamente</w:t>
      </w:r>
      <w:r w:rsidR="004F1228">
        <w:rPr>
          <w:rFonts w:ascii="Times New Roman" w:hAnsi="Times New Roman"/>
        </w:rPr>
        <w:t>. O</w:t>
      </w:r>
      <w:r>
        <w:rPr>
          <w:rFonts w:ascii="Times New Roman" w:hAnsi="Times New Roman"/>
        </w:rPr>
        <w:t xml:space="preserve"> mesmo examinador realizou os dois testes e não caminhou junto com os indivíduos.</w:t>
      </w:r>
    </w:p>
    <w:p w:rsidR="001250D4" w:rsidRDefault="001250D4" w:rsidP="001250D4">
      <w:pPr>
        <w:pStyle w:val="Pargrafo"/>
        <w:tabs>
          <w:tab w:val="left" w:pos="709"/>
        </w:tabs>
        <w:spacing w:line="36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  <w:t>A saturação periférica de O</w:t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 xml:space="preserve"> (SpO</w:t>
      </w:r>
      <w:r>
        <w:rPr>
          <w:rStyle w:val="A11"/>
          <w:rFonts w:ascii="Times New Roman" w:hAnsi="Times New Roman"/>
          <w:sz w:val="15"/>
        </w:rPr>
        <w:t>2</w:t>
      </w:r>
      <w:r>
        <w:rPr>
          <w:rFonts w:ascii="Times New Roman" w:hAnsi="Times New Roman"/>
        </w:rPr>
        <w:t>) por oximetria de pulso (</w:t>
      </w:r>
      <w:r>
        <w:rPr>
          <w:rFonts w:ascii="Times New Roman" w:hAnsi="Times New Roman"/>
          <w:i/>
        </w:rPr>
        <w:t>Oxímetro de Pulso More Fitness MF-415)</w:t>
      </w:r>
      <w:r>
        <w:rPr>
          <w:rFonts w:ascii="Times New Roman" w:hAnsi="Times New Roman"/>
        </w:rPr>
        <w:t>, frequência cardíaca (FC), pressão arterial (Aparelho de pressão digital OMRON), resultado da escala de Borg modificada ( Borg, 1982)</w:t>
      </w:r>
      <w:r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</w:rPr>
        <w:t>para dispneia e fadiga nas pernas foram verificad</w:t>
      </w:r>
      <w:r w:rsidR="004F1228">
        <w:rPr>
          <w:rFonts w:ascii="Times New Roman" w:hAnsi="Times New Roman"/>
        </w:rPr>
        <w:t>o</w:t>
      </w:r>
      <w:r>
        <w:rPr>
          <w:rFonts w:ascii="Times New Roman" w:hAnsi="Times New Roman"/>
        </w:rPr>
        <w:t>s antes e  imediatamente após as caminhadas.</w:t>
      </w:r>
    </w:p>
    <w:p w:rsidR="001250D4" w:rsidRDefault="001250D4" w:rsidP="001250D4">
      <w:pPr>
        <w:pStyle w:val="Pargrafo"/>
        <w:tabs>
          <w:tab w:val="left" w:pos="709"/>
        </w:tabs>
        <w:spacing w:line="36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  <w:t>A maior distância percorrida foi considerada para a análise. Para o cálculo do valor da distância predita</w:t>
      </w:r>
      <w:r w:rsidR="004F122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Cs w:val="24"/>
        </w:rPr>
        <w:t xml:space="preserve">utilizou-se a seguinte fórmula </w:t>
      </w:r>
      <w:r>
        <w:rPr>
          <w:rFonts w:ascii="Times New Roman" w:hAnsi="Times New Roman"/>
        </w:rPr>
        <w:t>de acordo com Brito et al.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(2013</w:t>
      </w:r>
      <w:r>
        <w:rPr>
          <w:rFonts w:ascii="Times New Roman" w:hAnsi="Times New Roman"/>
          <w:i/>
        </w:rPr>
        <w:t>)</w:t>
      </w:r>
      <w:r>
        <w:rPr>
          <w:rFonts w:ascii="Times New Roman" w:hAnsi="Times New Roman"/>
        </w:rPr>
        <w:t>.</w:t>
      </w:r>
    </w:p>
    <w:p w:rsidR="001250D4" w:rsidRDefault="001250D4" w:rsidP="001250D4">
      <w:pPr>
        <w:pStyle w:val="Pargrafo"/>
        <w:tabs>
          <w:tab w:val="left" w:pos="709"/>
        </w:tabs>
        <w:spacing w:line="360" w:lineRule="auto"/>
        <w:ind w:firstLine="0"/>
        <w:jc w:val="left"/>
        <w:rPr>
          <w:rFonts w:ascii="Times New Roman" w:hAnsi="Times New Roman"/>
          <w:sz w:val="22"/>
          <w:lang w:val="en-US"/>
        </w:rPr>
      </w:pPr>
      <w:r>
        <w:rPr>
          <w:rFonts w:ascii="Times New Roman" w:hAnsi="Times New Roman"/>
          <w:noProof w:val="0"/>
          <w:sz w:val="22"/>
          <w:szCs w:val="24"/>
          <w:lang w:val="en-US"/>
        </w:rPr>
        <w:t>6MWDpred = 890.46 – (6.11×age) + (0.0345×age</w:t>
      </w:r>
      <w:r>
        <w:rPr>
          <w:rFonts w:ascii="Times New Roman" w:hAnsi="Times New Roman"/>
          <w:noProof w:val="0"/>
          <w:position w:val="6"/>
          <w:sz w:val="22"/>
          <w:szCs w:val="24"/>
          <w:vertAlign w:val="superscript"/>
          <w:lang w:val="en-US"/>
        </w:rPr>
        <w:t>2</w:t>
      </w:r>
      <w:r>
        <w:rPr>
          <w:rFonts w:ascii="Times New Roman" w:hAnsi="Times New Roman"/>
          <w:noProof w:val="0"/>
          <w:sz w:val="22"/>
          <w:szCs w:val="24"/>
          <w:lang w:val="en-US"/>
        </w:rPr>
        <w:t>) + (48.87×gender) – (4.87×BMI)</w:t>
      </w:r>
    </w:p>
    <w:p w:rsidR="001250D4" w:rsidRDefault="001250D4" w:rsidP="001250D4">
      <w:pPr>
        <w:pStyle w:val="Defaul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color w:val="auto"/>
          <w:lang w:val="en-US"/>
        </w:rPr>
      </w:pPr>
      <w:r>
        <w:rPr>
          <w:rFonts w:ascii="Times New Roman" w:hAnsi="Times New Roman"/>
          <w:color w:val="auto"/>
          <w:lang w:val="en-US"/>
        </w:rPr>
        <w:tab/>
      </w:r>
    </w:p>
    <w:p w:rsidR="001250D4" w:rsidRDefault="001250D4" w:rsidP="001250D4">
      <w:pPr>
        <w:pStyle w:val="Pargrafo"/>
        <w:tabs>
          <w:tab w:val="left" w:pos="709"/>
        </w:tabs>
        <w:spacing w:line="360" w:lineRule="auto"/>
        <w:ind w:firstLine="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Questionário de Atividade Física (IPAQ versão curta)</w:t>
      </w:r>
    </w:p>
    <w:p w:rsidR="001250D4" w:rsidRDefault="001250D4" w:rsidP="00125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08"/>
        <w:jc w:val="both"/>
        <w:rPr>
          <w:i/>
        </w:rPr>
      </w:pPr>
      <w:r>
        <w:rPr>
          <w:spacing w:val="15"/>
          <w:bdr w:val="none" w:sz="0" w:space="0" w:color="auto" w:frame="1"/>
        </w:rPr>
        <w:t>O questionário IPAQ versão curta, originalmente apresentado em diversos idiomas, inclusive na língua portuguesa</w:t>
      </w:r>
      <w:r w:rsidR="004F1228">
        <w:rPr>
          <w:spacing w:val="15"/>
          <w:bdr w:val="none" w:sz="0" w:space="0" w:color="auto" w:frame="1"/>
        </w:rPr>
        <w:t>,</w:t>
      </w:r>
      <w:r>
        <w:rPr>
          <w:spacing w:val="15"/>
          <w:bdr w:val="none" w:sz="0" w:space="0" w:color="auto" w:frame="1"/>
        </w:rPr>
        <w:t xml:space="preserve"> dispensando sua tradução (</w:t>
      </w:r>
      <w:r>
        <w:rPr>
          <w:rStyle w:val="a"/>
          <w:bdr w:val="none" w:sz="0" w:space="0" w:color="auto" w:frame="1"/>
          <w:shd w:val="clear" w:color="auto" w:fill="FFFFFF"/>
        </w:rPr>
        <w:t xml:space="preserve">Craig </w:t>
      </w:r>
      <w:proofErr w:type="gramStart"/>
      <w:r>
        <w:rPr>
          <w:rStyle w:val="a"/>
          <w:bdr w:val="none" w:sz="0" w:space="0" w:color="auto" w:frame="1"/>
          <w:shd w:val="clear" w:color="auto" w:fill="FFFFFF"/>
        </w:rPr>
        <w:t>et</w:t>
      </w:r>
      <w:proofErr w:type="gramEnd"/>
      <w:r>
        <w:rPr>
          <w:rStyle w:val="a"/>
          <w:bdr w:val="none" w:sz="0" w:space="0" w:color="auto" w:frame="1"/>
          <w:shd w:val="clear" w:color="auto" w:fill="FFFFFF"/>
        </w:rPr>
        <w:t xml:space="preserve"> al., 2003)</w:t>
      </w:r>
      <w:r>
        <w:rPr>
          <w:spacing w:val="15"/>
          <w:bdr w:val="none" w:sz="0" w:space="0" w:color="auto" w:frame="1"/>
        </w:rPr>
        <w:t xml:space="preserve">, foi </w:t>
      </w:r>
      <w:r>
        <w:rPr>
          <w:bdr w:val="none" w:sz="0" w:space="0" w:color="auto" w:frame="1"/>
        </w:rPr>
        <w:t xml:space="preserve">validado no Brasil por </w:t>
      </w:r>
      <w:proofErr w:type="spellStart"/>
      <w:r>
        <w:rPr>
          <w:bdr w:val="none" w:sz="0" w:space="0" w:color="auto" w:frame="1"/>
        </w:rPr>
        <w:t>Pardine</w:t>
      </w:r>
      <w:proofErr w:type="spellEnd"/>
      <w:r>
        <w:rPr>
          <w:bdr w:val="none" w:sz="0" w:space="0" w:color="auto" w:frame="1"/>
        </w:rPr>
        <w:t xml:space="preserve"> et al</w:t>
      </w:r>
      <w:r>
        <w:rPr>
          <w:rFonts w:eastAsia="Calibri"/>
        </w:rPr>
        <w:t xml:space="preserve">., 2001. </w:t>
      </w:r>
      <w:r>
        <w:rPr>
          <w:spacing w:val="15"/>
          <w:bdr w:val="none" w:sz="0" w:space="0" w:color="auto" w:frame="1"/>
        </w:rPr>
        <w:t>Aplicado no dia da avaliação</w:t>
      </w:r>
      <w:proofErr w:type="gramStart"/>
      <w:r w:rsidR="004F1228">
        <w:rPr>
          <w:spacing w:val="15"/>
          <w:bdr w:val="none" w:sz="0" w:space="0" w:color="auto" w:frame="1"/>
        </w:rPr>
        <w:t>,</w:t>
      </w:r>
      <w:r>
        <w:rPr>
          <w:spacing w:val="15"/>
          <w:bdr w:val="none" w:sz="0" w:space="0" w:color="auto" w:frame="1"/>
        </w:rPr>
        <w:t xml:space="preserve"> teve</w:t>
      </w:r>
      <w:proofErr w:type="gramEnd"/>
      <w:r>
        <w:rPr>
          <w:spacing w:val="15"/>
          <w:bdr w:val="none" w:sz="0" w:space="0" w:color="auto" w:frame="1"/>
        </w:rPr>
        <w:t xml:space="preserve"> a finalidade de medir o nível de atividade física dos participantes, nas duas semanas anteriores, por meio </w:t>
      </w:r>
      <w:r>
        <w:t>da investigação sobre prática de esportes e jogos, atividades em casa, no trabalho e no tempo de lazer, incluindo o tempo em atividade sedentária, como assistir televisão (</w:t>
      </w:r>
      <w:proofErr w:type="spellStart"/>
      <w:r>
        <w:rPr>
          <w:bdr w:val="none" w:sz="0" w:space="0" w:color="auto" w:frame="1"/>
        </w:rPr>
        <w:t>Pardine</w:t>
      </w:r>
      <w:proofErr w:type="spellEnd"/>
      <w:r>
        <w:rPr>
          <w:bdr w:val="none" w:sz="0" w:space="0" w:color="auto" w:frame="1"/>
        </w:rPr>
        <w:t xml:space="preserve"> et al</w:t>
      </w:r>
      <w:r>
        <w:rPr>
          <w:rFonts w:eastAsia="Calibri"/>
        </w:rPr>
        <w:t xml:space="preserve">., 2001). </w:t>
      </w:r>
      <w:r>
        <w:t xml:space="preserve">Para </w:t>
      </w:r>
      <w:r w:rsidR="004F1228">
        <w:t xml:space="preserve">a </w:t>
      </w:r>
      <w:r>
        <w:t>análise dos dados</w:t>
      </w:r>
      <w:r w:rsidR="004F1228">
        <w:t>,</w:t>
      </w:r>
      <w:r>
        <w:t xml:space="preserve"> utilizou-se o consenso realizado entre o Centro de Estudos do Laboratório de Aptidão Física de São Caetano do Sul e o </w:t>
      </w:r>
      <w:r>
        <w:rPr>
          <w:i/>
        </w:rPr>
        <w:t xml:space="preserve">Center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Disease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lastRenderedPageBreak/>
        <w:t>Control</w:t>
      </w:r>
      <w:proofErr w:type="spellEnd"/>
      <w:r>
        <w:rPr>
          <w:i/>
        </w:rPr>
        <w:t xml:space="preserve"> </w:t>
      </w:r>
      <w:r>
        <w:t>(CDC, 2002)</w:t>
      </w:r>
      <w:r>
        <w:rPr>
          <w:vertAlign w:val="superscript"/>
        </w:rPr>
        <w:t xml:space="preserve"> </w:t>
      </w:r>
      <w:r>
        <w:t xml:space="preserve">de Atlanta, </w:t>
      </w:r>
      <w:r>
        <w:rPr>
          <w:rFonts w:eastAsia="Calibri"/>
        </w:rPr>
        <w:t>classificando-os em quatro categorias: muito ativo, ativo, irregularmente ativo e sedentário (</w:t>
      </w:r>
      <w:proofErr w:type="spellStart"/>
      <w:r>
        <w:rPr>
          <w:bdr w:val="none" w:sz="0" w:space="0" w:color="auto" w:frame="1"/>
        </w:rPr>
        <w:t>Pardine</w:t>
      </w:r>
      <w:proofErr w:type="spellEnd"/>
      <w:r>
        <w:rPr>
          <w:bdr w:val="none" w:sz="0" w:space="0" w:color="auto" w:frame="1"/>
        </w:rPr>
        <w:t xml:space="preserve"> </w:t>
      </w:r>
      <w:proofErr w:type="gramStart"/>
      <w:r>
        <w:rPr>
          <w:bdr w:val="none" w:sz="0" w:space="0" w:color="auto" w:frame="1"/>
        </w:rPr>
        <w:t>et</w:t>
      </w:r>
      <w:proofErr w:type="gramEnd"/>
      <w:r>
        <w:rPr>
          <w:bdr w:val="none" w:sz="0" w:space="0" w:color="auto" w:frame="1"/>
        </w:rPr>
        <w:t xml:space="preserve"> al</w:t>
      </w:r>
      <w:r>
        <w:rPr>
          <w:rFonts w:eastAsia="Calibri"/>
        </w:rPr>
        <w:t xml:space="preserve">., 2001). </w:t>
      </w:r>
    </w:p>
    <w:p w:rsidR="001250D4" w:rsidRDefault="001250D4" w:rsidP="001250D4">
      <w:pPr>
        <w:pStyle w:val="Pargrafo"/>
        <w:spacing w:line="360" w:lineRule="auto"/>
        <w:ind w:firstLine="0"/>
        <w:rPr>
          <w:rFonts w:ascii="Times New Roman" w:hAnsi="Times New Roman"/>
        </w:rPr>
      </w:pPr>
    </w:p>
    <w:p w:rsidR="001250D4" w:rsidRDefault="001250D4" w:rsidP="00125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rPr>
          <w:i/>
        </w:rPr>
        <w:t>Avaliação da dor</w:t>
      </w:r>
    </w:p>
    <w:p w:rsidR="001250D4" w:rsidRDefault="001250D4" w:rsidP="00125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08"/>
        <w:jc w:val="both"/>
        <w:rPr>
          <w:i/>
        </w:rPr>
      </w:pPr>
      <w:r>
        <w:t>A Escala Visual Analógica (EVA)</w:t>
      </w:r>
      <w:r w:rsidR="004F1228">
        <w:t>,</w:t>
      </w:r>
      <w:r>
        <w:t xml:space="preserve"> associada à Escala Visual Numérica (EVN), consiste de uma linha analógica visual de 100 mm de comprimento, o qual representa a experiência dolorosa do paciente no momento da avaliação</w:t>
      </w:r>
      <w:r w:rsidR="004F1228">
        <w:t>. Q</w:t>
      </w:r>
      <w:r>
        <w:t>uanto maior o valor</w:t>
      </w:r>
      <w:r w:rsidR="004F1228">
        <w:t>,</w:t>
      </w:r>
      <w:r>
        <w:t xml:space="preserve"> maior a intensidade de dor (Collins, Moore &amp; </w:t>
      </w:r>
      <w:proofErr w:type="spellStart"/>
      <w:r>
        <w:t>McQuay</w:t>
      </w:r>
      <w:proofErr w:type="spellEnd"/>
      <w:r>
        <w:t xml:space="preserve">, 1997), sendo zero a ausência de dor, de um a </w:t>
      </w:r>
      <w:proofErr w:type="gramStart"/>
      <w:r>
        <w:t>três dor</w:t>
      </w:r>
      <w:proofErr w:type="gramEnd"/>
      <w:r>
        <w:t xml:space="preserve"> leve, </w:t>
      </w:r>
      <w:r w:rsidR="004F1228">
        <w:t xml:space="preserve">de </w:t>
      </w:r>
      <w:r>
        <w:t xml:space="preserve">quatro a sete dor moderada, </w:t>
      </w:r>
      <w:r w:rsidR="004F1228">
        <w:t xml:space="preserve">de </w:t>
      </w:r>
      <w:r>
        <w:t>oito a nove dor grave e 10 dor insuportável (Hospital Israelita Albert Einstein, 2010). Essa escala foi aplicada no dia da avaliação</w:t>
      </w:r>
      <w:r w:rsidR="004F1228">
        <w:t>:</w:t>
      </w:r>
      <w:r>
        <w:t xml:space="preserve"> o avaliado era questionado sobre a presença ou não de dor e</w:t>
      </w:r>
      <w:r w:rsidR="004F1228">
        <w:t>,</w:t>
      </w:r>
      <w:r>
        <w:t xml:space="preserve"> se positivo, apontava na escala o grau da intensidade de sua dor e </w:t>
      </w:r>
      <w:r w:rsidR="004F1228">
        <w:t xml:space="preserve">a </w:t>
      </w:r>
      <w:r>
        <w:t>região acometida.</w:t>
      </w:r>
    </w:p>
    <w:p w:rsidR="001250D4" w:rsidRDefault="001250D4" w:rsidP="001250D4">
      <w:pPr>
        <w:pStyle w:val="Pargrafo"/>
        <w:spacing w:line="360" w:lineRule="auto"/>
        <w:ind w:firstLine="0"/>
        <w:rPr>
          <w:rFonts w:ascii="Times New Roman" w:hAnsi="Times New Roman"/>
          <w:i/>
        </w:rPr>
      </w:pPr>
    </w:p>
    <w:p w:rsidR="001250D4" w:rsidRDefault="001250D4" w:rsidP="001250D4">
      <w:pPr>
        <w:pStyle w:val="Pargrafo"/>
        <w:spacing w:line="360" w:lineRule="auto"/>
        <w:ind w:firstLine="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Análise Estatística</w:t>
      </w:r>
    </w:p>
    <w:p w:rsidR="001250D4" w:rsidRDefault="001250D4" w:rsidP="001250D4">
      <w:pPr>
        <w:pStyle w:val="Pargrafo"/>
        <w:spacing w:line="360" w:lineRule="auto"/>
        <w:ind w:firstLine="0"/>
        <w:rPr>
          <w:rFonts w:ascii="Times New Roman" w:eastAsia="Calibri" w:hAnsi="Times New Roman"/>
          <w:szCs w:val="24"/>
          <w:lang w:eastAsia="en-US"/>
        </w:rPr>
      </w:pPr>
      <w:r>
        <w:rPr>
          <w:rFonts w:ascii="Times New Roman" w:hAnsi="Times New Roman"/>
        </w:rPr>
        <w:t xml:space="preserve">          A análise estatística foi realizada por meio do programa GraphPad Prism 6.0. </w:t>
      </w:r>
      <w:r>
        <w:rPr>
          <w:rFonts w:ascii="Times New Roman" w:hAnsi="Times New Roman"/>
          <w:szCs w:val="24"/>
          <w:shd w:val="clear" w:color="auto" w:fill="FFFFFF"/>
        </w:rPr>
        <w:t>A normalidade dos dados foi verificada por meio do Teste Shapiro-Wilk. Os dados foram expressos em mediana e intervalo interquartílico (25% - 75%) para os dados que não apresentaram distribuição normal  e em média e desvio padrão para aqueles com distribuição normal. Utiliz</w:t>
      </w:r>
      <w:r w:rsidR="004F1228">
        <w:rPr>
          <w:rFonts w:ascii="Times New Roman" w:hAnsi="Times New Roman"/>
          <w:szCs w:val="24"/>
          <w:shd w:val="clear" w:color="auto" w:fill="FFFFFF"/>
        </w:rPr>
        <w:t>aram</w:t>
      </w:r>
      <w:r>
        <w:rPr>
          <w:rFonts w:ascii="Times New Roman" w:hAnsi="Times New Roman"/>
          <w:szCs w:val="24"/>
          <w:shd w:val="clear" w:color="auto" w:fill="FFFFFF"/>
        </w:rPr>
        <w:t>-se os testes Mann-Whitney e t Student independente</w:t>
      </w:r>
      <w:r w:rsidR="004F1228">
        <w:rPr>
          <w:rFonts w:ascii="Times New Roman" w:hAnsi="Times New Roman"/>
          <w:szCs w:val="24"/>
          <w:shd w:val="clear" w:color="auto" w:fill="FFFFFF"/>
        </w:rPr>
        <w:t>s</w:t>
      </w:r>
      <w:r>
        <w:rPr>
          <w:rFonts w:ascii="Times New Roman" w:hAnsi="Times New Roman"/>
          <w:szCs w:val="24"/>
          <w:shd w:val="clear" w:color="auto" w:fill="FFFFFF"/>
        </w:rPr>
        <w:t xml:space="preserve"> para comparar os grupos de acordo com a gravidade da lesão. O Qui quadrado com correção de Yates foi utilizado para comparar o nível de atividade física entre os grupos médio</w:t>
      </w:r>
      <w:r w:rsidR="00682EBA">
        <w:rPr>
          <w:rFonts w:ascii="Times New Roman" w:hAnsi="Times New Roman"/>
          <w:szCs w:val="24"/>
          <w:shd w:val="clear" w:color="auto" w:fill="FFFFFF"/>
        </w:rPr>
        <w:t>s</w:t>
      </w:r>
      <w:r>
        <w:rPr>
          <w:rFonts w:ascii="Times New Roman" w:hAnsi="Times New Roman"/>
          <w:szCs w:val="24"/>
          <w:shd w:val="clear" w:color="auto" w:fill="FFFFFF"/>
        </w:rPr>
        <w:t xml:space="preserve"> e grande</w:t>
      </w:r>
      <w:r w:rsidR="00682EBA">
        <w:rPr>
          <w:rFonts w:ascii="Times New Roman" w:hAnsi="Times New Roman"/>
          <w:szCs w:val="24"/>
          <w:shd w:val="clear" w:color="auto" w:fill="FFFFFF"/>
        </w:rPr>
        <w:t>s</w:t>
      </w:r>
      <w:r>
        <w:rPr>
          <w:rFonts w:ascii="Times New Roman" w:hAnsi="Times New Roman"/>
          <w:szCs w:val="24"/>
          <w:shd w:val="clear" w:color="auto" w:fill="FFFFFF"/>
        </w:rPr>
        <w:t xml:space="preserve"> queimados. </w:t>
      </w:r>
      <w:r>
        <w:rPr>
          <w:rFonts w:ascii="Times New Roman" w:eastAsia="Calibri" w:hAnsi="Times New Roman"/>
          <w:szCs w:val="24"/>
          <w:lang w:eastAsia="en-US"/>
        </w:rPr>
        <w:t xml:space="preserve">O poder da amostra foi calculado por meio do programa Power and Sample Size, considerando </w:t>
      </w:r>
      <w:r>
        <w:rPr>
          <w:rFonts w:ascii="Times New Roman" w:eastAsia="Calibri" w:hAnsi="Times New Roman"/>
          <w:szCs w:val="24"/>
          <w:lang w:eastAsia="en-US"/>
        </w:rPr>
        <w:sym w:font="Symbol" w:char="F061"/>
      </w:r>
      <w:r>
        <w:rPr>
          <w:rFonts w:ascii="Times New Roman" w:eastAsia="Calibri" w:hAnsi="Times New Roman"/>
          <w:szCs w:val="24"/>
          <w:lang w:eastAsia="en-US"/>
        </w:rPr>
        <w:t xml:space="preserve"> = 0,05, n = 16, </w:t>
      </w:r>
      <w:r>
        <w:rPr>
          <w:rFonts w:ascii="Times New Roman" w:eastAsia="Calibri" w:hAnsi="Times New Roman"/>
          <w:i/>
          <w:szCs w:val="24"/>
          <w:lang w:eastAsia="en-US"/>
        </w:rPr>
        <w:t>m=</w:t>
      </w:r>
      <w:r>
        <w:rPr>
          <w:rFonts w:ascii="Times New Roman" w:eastAsia="Calibri" w:hAnsi="Times New Roman"/>
          <w:szCs w:val="24"/>
          <w:lang w:eastAsia="en-US"/>
        </w:rPr>
        <w:t xml:space="preserve"> 2,75, </w:t>
      </w:r>
      <w:r>
        <w:rPr>
          <w:rFonts w:ascii="Times New Roman" w:eastAsia="Calibri" w:hAnsi="Times New Roman"/>
          <w:szCs w:val="24"/>
          <w:lang w:eastAsia="en-US"/>
        </w:rPr>
        <w:sym w:font="Symbol" w:char="F073"/>
      </w:r>
      <w:r>
        <w:rPr>
          <w:rFonts w:ascii="Times New Roman" w:eastAsia="Calibri" w:hAnsi="Times New Roman"/>
          <w:szCs w:val="24"/>
          <w:lang w:eastAsia="en-US"/>
        </w:rPr>
        <w:t xml:space="preserve"> = 49,71, </w:t>
      </w:r>
      <w:r>
        <w:rPr>
          <w:rFonts w:ascii="Times New Roman" w:eastAsia="Calibri" w:hAnsi="Times New Roman"/>
          <w:szCs w:val="24"/>
          <w:lang w:eastAsia="en-US"/>
        </w:rPr>
        <w:sym w:font="Symbol" w:char="F064"/>
      </w:r>
      <w:r>
        <w:rPr>
          <w:rFonts w:ascii="Times New Roman" w:eastAsia="Calibri" w:hAnsi="Times New Roman"/>
          <w:szCs w:val="24"/>
          <w:lang w:eastAsia="en-US"/>
        </w:rPr>
        <w:t xml:space="preserve">= 34. </w:t>
      </w:r>
      <w:r>
        <w:rPr>
          <w:rFonts w:ascii="Times New Roman" w:hAnsi="Times New Roman"/>
          <w:szCs w:val="24"/>
          <w:shd w:val="clear" w:color="auto" w:fill="FFFFFF"/>
        </w:rPr>
        <w:t>O nível de significância adotado foi de 5%.</w:t>
      </w:r>
    </w:p>
    <w:p w:rsidR="001250D4" w:rsidRDefault="001250D4" w:rsidP="001250D4">
      <w:pPr>
        <w:pStyle w:val="Pargrafo"/>
        <w:spacing w:line="360" w:lineRule="auto"/>
        <w:ind w:firstLine="0"/>
        <w:rPr>
          <w:rFonts w:ascii="Times New Roman" w:hAnsi="Times New Roman"/>
        </w:rPr>
      </w:pPr>
    </w:p>
    <w:p w:rsidR="001250D4" w:rsidRDefault="001250D4" w:rsidP="001250D4">
      <w:pPr>
        <w:pStyle w:val="Pargrafo"/>
        <w:spacing w:line="360" w:lineRule="auto"/>
        <w:ind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RESULTADOS</w:t>
      </w:r>
    </w:p>
    <w:p w:rsidR="001250D4" w:rsidRDefault="001250D4" w:rsidP="001250D4">
      <w:pPr>
        <w:pStyle w:val="Pargrafo"/>
        <w:spacing w:line="360" w:lineRule="auto"/>
        <w:ind w:firstLine="0"/>
        <w:rPr>
          <w:rFonts w:ascii="Times New Roman" w:hAnsi="Times New Roman"/>
          <w:b/>
          <w:i/>
        </w:rPr>
      </w:pPr>
    </w:p>
    <w:p w:rsidR="001250D4" w:rsidRDefault="001250D4" w:rsidP="001250D4">
      <w:pPr>
        <w:pStyle w:val="Pargrafo"/>
        <w:tabs>
          <w:tab w:val="left" w:pos="709"/>
        </w:tabs>
        <w:spacing w:line="360" w:lineRule="auto"/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No período do estudo</w:t>
      </w:r>
      <w:r w:rsidR="004F1228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foram internados 288 pacientes adultos</w:t>
      </w:r>
      <w:r w:rsidR="004F1228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vítimas de queimaduras. Destes, 49 foram a óbito, 27 não incluídos,10 recusaram-se a participar  e 104 por perda de contato (sem retorno para avaliação e/ou sem sucesso </w:t>
      </w:r>
      <w:r w:rsidR="004F1228">
        <w:rPr>
          <w:rFonts w:ascii="Times New Roman" w:hAnsi="Times New Roman"/>
          <w:szCs w:val="24"/>
        </w:rPr>
        <w:t>por</w:t>
      </w:r>
      <w:r>
        <w:rPr>
          <w:rFonts w:ascii="Times New Roman" w:hAnsi="Times New Roman"/>
          <w:szCs w:val="24"/>
        </w:rPr>
        <w:t xml:space="preserve"> contato telefônico). Foram avaliados 60 pacientes, como pode ser observado na Figura 1.</w:t>
      </w:r>
    </w:p>
    <w:p w:rsidR="001250D4" w:rsidRDefault="001250D4" w:rsidP="001250D4">
      <w:pPr>
        <w:pStyle w:val="Pargrafo"/>
        <w:tabs>
          <w:tab w:val="left" w:pos="709"/>
        </w:tabs>
        <w:spacing w:line="360" w:lineRule="auto"/>
        <w:ind w:firstLine="0"/>
        <w:rPr>
          <w:rFonts w:ascii="Times New Roman" w:hAnsi="Times New Roman"/>
          <w:szCs w:val="24"/>
        </w:rPr>
      </w:pPr>
    </w:p>
    <w:p w:rsidR="001250D4" w:rsidRDefault="001250D4" w:rsidP="001250D4">
      <w:pPr>
        <w:pStyle w:val="Pargrafo"/>
        <w:tabs>
          <w:tab w:val="left" w:pos="709"/>
        </w:tabs>
        <w:spacing w:line="360" w:lineRule="auto"/>
        <w:ind w:firstLine="0"/>
        <w:rPr>
          <w:rFonts w:ascii="Times New Roman" w:hAnsi="Times New Roman"/>
          <w:szCs w:val="24"/>
        </w:rPr>
      </w:pPr>
    </w:p>
    <w:p w:rsidR="001250D4" w:rsidRDefault="001250D4" w:rsidP="001250D4">
      <w:pPr>
        <w:pStyle w:val="Pargrafo"/>
        <w:tabs>
          <w:tab w:val="left" w:pos="709"/>
        </w:tabs>
        <w:spacing w:line="360" w:lineRule="auto"/>
        <w:ind w:firstLine="0"/>
        <w:rPr>
          <w:rFonts w:ascii="Times New Roman" w:hAnsi="Times New Roman"/>
          <w:szCs w:val="24"/>
        </w:rPr>
      </w:pPr>
    </w:p>
    <w:p w:rsidR="001250D4" w:rsidRDefault="001250D4" w:rsidP="001250D4">
      <w:pPr>
        <w:pStyle w:val="Pargrafo"/>
        <w:tabs>
          <w:tab w:val="left" w:pos="709"/>
        </w:tabs>
        <w:spacing w:line="360" w:lineRule="auto"/>
        <w:ind w:firstLine="0"/>
        <w:rPr>
          <w:rFonts w:ascii="Times New Roman" w:hAnsi="Times New Roman"/>
          <w:szCs w:val="24"/>
        </w:rPr>
      </w:pPr>
    </w:p>
    <w:p w:rsidR="001250D4" w:rsidRDefault="001250D4" w:rsidP="001250D4">
      <w:pPr>
        <w:pStyle w:val="Pargrafo"/>
        <w:spacing w:line="276" w:lineRule="auto"/>
        <w:ind w:firstLine="0"/>
        <w:jc w:val="left"/>
        <w:rPr>
          <w:szCs w:val="24"/>
        </w:rPr>
      </w:pPr>
    </w:p>
    <w:p w:rsidR="001250D4" w:rsidRDefault="001250D4" w:rsidP="001250D4">
      <w:pPr>
        <w:pStyle w:val="Pargrafo"/>
        <w:spacing w:line="360" w:lineRule="auto"/>
        <w:ind w:firstLine="0"/>
        <w:jc w:val="lef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Cs w:val="24"/>
        </w:rPr>
        <w:t>Figura 1: Processo de seleção dos participantes</w:t>
      </w:r>
    </w:p>
    <w:p w:rsidR="001250D4" w:rsidRDefault="001250D4" w:rsidP="001250D4">
      <w:pPr>
        <w:pStyle w:val="Pargrafo"/>
        <w:spacing w:line="276" w:lineRule="auto"/>
        <w:ind w:firstLine="0"/>
        <w:jc w:val="left"/>
        <w:rPr>
          <w:szCs w:val="24"/>
        </w:rPr>
      </w:pPr>
    </w:p>
    <w:p w:rsidR="001250D4" w:rsidRDefault="001250D4" w:rsidP="00125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1250D4" w:rsidRDefault="001250D4" w:rsidP="001250D4">
      <w:pPr>
        <w:pStyle w:val="Pargrafo"/>
        <w:tabs>
          <w:tab w:val="left" w:pos="709"/>
        </w:tabs>
        <w:spacing w:line="276" w:lineRule="auto"/>
        <w:ind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:rsidR="001250D4" w:rsidRDefault="001250D4" w:rsidP="001250D4">
      <w:pPr>
        <w:pStyle w:val="Pargrafo"/>
        <w:tabs>
          <w:tab w:val="left" w:pos="709"/>
        </w:tabs>
        <w:spacing w:line="276" w:lineRule="auto"/>
        <w:ind w:firstLine="0"/>
        <w:rPr>
          <w:szCs w:val="24"/>
        </w:rPr>
      </w:pPr>
      <w:r>
        <w:rPr>
          <w:snapToGrid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1244600</wp:posOffset>
                </wp:positionH>
                <wp:positionV relativeFrom="paragraph">
                  <wp:posOffset>-227965</wp:posOffset>
                </wp:positionV>
                <wp:extent cx="1565910" cy="387985"/>
                <wp:effectExtent l="0" t="0" r="15240" b="12065"/>
                <wp:wrapNone/>
                <wp:docPr id="16" name="Retângulo de cantos arredondado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5910" cy="3879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E165F" w:rsidRDefault="00FE165F" w:rsidP="001250D4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288 adultos internaram no CTQ/HU/UEL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tângulo de cantos arredondados 16" o:spid="_x0000_s1026" style="position:absolute;left:0;text-align:left;margin-left:98pt;margin-top:-17.95pt;width:123.3pt;height:30.5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m2RSQIAAIUEAAAOAAAAZHJzL2Uyb0RvYy54bWysVF1u1DAQfkfiDpbfaTZLd9uNmq2qliIk&#10;fqoWDjBrO4nB8YSxd7PlOFyFizFx0rIFnhB5sGY8M9/8fJ6cne9bJ3aGgkVfyvxoJoXxCrX1dSk/&#10;fbx+cSpFiOA1OPSmlPcmyPP182dnfVeYOTbotCHBID4UfVfKJsauyLKgGtNCOMLOeDZWSC1EVqnO&#10;NEHP6K3L5rPZMuuRdEeoTAh8ezUa5TrhV5VR8UNVBROFKyXXFtNJ6dwMZ7Y+g6Im6BqrpjLgH6po&#10;wXpO+gh1BRHEluwfUK1VhAGreKSwzbCqrDKpB+4mn/3WzV0DnUm98HBC9zim8P9g1fvdDQmrmbul&#10;FB5a5ujWxB/ffb11KLQRCnzEIIDIaGQeNSvsy4Pru1Bw/F13Q0ProXuL6ksQHi8b8LW5IMK+MaC5&#10;3Hzwz54EDErgULHp36HmtLCNmGa4r6gdAHk6Yp+oun+kyuyjUHyZL5aLVc6MKra9PD1ZnS5SCige&#10;ojsK8bXBVgxCKQm3Xt/ye0gpYPc2xMSXnpoG/VmKqnXM/g4cd7hcnkyIk3MGxQNmahed1dfWuaRQ&#10;vbl0JDi0lNfpm4LDoZvzoi/lajFfpCqe2MIhxCx9f4NIfaRXO4z2lddJjmDdKHOVzk+zHsY70hT3&#10;m/3E2Ab1PU+dcNwF3l0WGqRvUvS8B6UMX7dARgr3xjNzq/z4eFicpBwvTuas0KFlc2gBrxiqlFGK&#10;UbyM47JtO7J1w5ny1LnHC2a7svHhWYxVTXXzW2fpyTId6snr199j/RMAAP//AwBQSwMEFAAGAAgA&#10;AAAhAA+rStTdAAAACgEAAA8AAABkcnMvZG93bnJldi54bWxMj0FPhDAUhO8m/ofmmXjbbcWFCEvZ&#10;GBO9GlkPHgt9Aln6yraFRX+99aTHyUxmvikPqxnZgs4PliTcbQUwpNbqgToJ78fnzQMwHxRpNVpC&#10;CV/o4VBdX5Wq0PZCb7jUoWOxhHyhJPQhTAXnvu3RKL+1E1L0Pq0zKkTpOq6dusRyM/JEiIwbNVBc&#10;6NWETz22p3o2ElotZuE+lte8SUP9vcxn4i9nKW9v1sc9sIBr+AvDL35EhyoyNXYm7dkYdZ7FL0HC&#10;5j7NgcXEbpdkwBoJSZoAr0r+/0L1AwAA//8DAFBLAQItABQABgAIAAAAIQC2gziS/gAAAOEBAAAT&#10;AAAAAAAAAAAAAAAAAAAAAABbQ29udGVudF9UeXBlc10ueG1sUEsBAi0AFAAGAAgAAAAhADj9If/W&#10;AAAAlAEAAAsAAAAAAAAAAAAAAAAALwEAAF9yZWxzLy5yZWxzUEsBAi0AFAAGAAgAAAAhABKObZFJ&#10;AgAAhQQAAA4AAAAAAAAAAAAAAAAALgIAAGRycy9lMm9Eb2MueG1sUEsBAi0AFAAGAAgAAAAhAA+r&#10;StTdAAAACgEAAA8AAAAAAAAAAAAAAAAAowQAAGRycy9kb3ducmV2LnhtbFBLBQYAAAAABAAEAPMA&#10;AACtBQAAAAA=&#10;">
                <v:textbox>
                  <w:txbxContent>
                    <w:p w:rsidR="00FE165F" w:rsidRDefault="00FE165F" w:rsidP="001250D4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288 adultos internaram no CTQ/HU/UEL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napToGrid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2031365</wp:posOffset>
                </wp:positionH>
                <wp:positionV relativeFrom="paragraph">
                  <wp:posOffset>160020</wp:posOffset>
                </wp:positionV>
                <wp:extent cx="635" cy="833120"/>
                <wp:effectExtent l="0" t="0" r="37465" b="24130"/>
                <wp:wrapNone/>
                <wp:docPr id="17" name="Conector de seta ret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33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ACF6C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17" o:spid="_x0000_s1026" type="#_x0000_t32" style="position:absolute;margin-left:159.95pt;margin-top:12.6pt;width:.05pt;height:65.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JYCKQIAAEoEAAAOAAAAZHJzL2Uyb0RvYy54bWysVE2P2yAQvVfqf0Dcs7bztYkVZ1XZSS/b&#10;bqTd/gAC2EbFgIDEiar+9w44ibLtpaqaAxkY5s2bmYdXT6dOoiO3TmhV4OwhxYgrqplQTYG/vW1H&#10;C4ycJ4oRqRUv8Jk7/LT++GHVm5yPdasl4xYBiHJ5bwrcem/yJHG05R1xD9pwBc5a24542NomYZb0&#10;gN7JZJym86TXlhmrKXcOTqvBidcRv6459S917bhHssDAzcfVxnUf1mS9InljiWkFvdAg/8CiI0JB&#10;0htURTxBByv+gOoEtdrp2j9Q3SW6rgXlsQaoJkt/q+a1JYbHWqA5ztza5P4fLP163FkkGMzuESNF&#10;OphRCZOiXlvEOILWEWTDAn5oVm9cDjGl2tlQLj2pV/Os6XeHlC5bohoeSb+dDQBlISJ5FxI2zkDK&#10;ff9FM7hDDl7Hzp1q2wVI6Ak6xQGdbwPiJ48oHM4nM4wonC8mk2wcp5eQ/BpprPOfue5QMArsvCWi&#10;aT2UM9STxTzk+Ox84EXya0BIq/RWSBnlIBXqC7ycjWcxwGkpWHCGa842+1JadCRBUPEXiwTP/TWr&#10;D4pFsJYTtrnYngg52JBcqoAHlQGdizUo5scyXW4Wm8V0NB3PN6NpWlWjT9tyOppvs8dZNanKssp+&#10;BmrZNG8FY1wFdlf1ZtO/U8flHQ26u+n31obkPXrsF5C9/kfScbRhmoMu9pqdd/Y6chBsvHx5XOFF&#10;3O/Bvv8ErH8BAAD//wMAUEsDBBQABgAIAAAAIQBlO9hi3wAAAAoBAAAPAAAAZHJzL2Rvd25yZXYu&#10;eG1sTI9BT4NAEIXvJv0Pm2nSi7ELVBpBlqZp4sGjbROvW3YElJ0l7FKwv97xpMfJ+/LeN8Vutp24&#10;4uBbRwridQQCqXKmpVrB+fTy8ATCB01Gd45QwTd62JWLu0Lnxk30htdjqAWXkM+1giaEPpfSVw1a&#10;7deuR+Lsww1WBz6HWppBT1xuO5lE0VZa3RIvNLrHQ4PV13G0CtCPaRztM1ufX2/T/Xty+5z6k1Kr&#10;5bx/BhFwDn8w/OqzOpTsdHEjGS86BZs4yxhVkKQJCAY2vAfiwmS6fQRZFvL/C+UPAAAA//8DAFBL&#10;AQItABQABgAIAAAAIQC2gziS/gAAAOEBAAATAAAAAAAAAAAAAAAAAAAAAABbQ29udGVudF9UeXBl&#10;c10ueG1sUEsBAi0AFAAGAAgAAAAhADj9If/WAAAAlAEAAAsAAAAAAAAAAAAAAAAALwEAAF9yZWxz&#10;Ly5yZWxzUEsBAi0AFAAGAAgAAAAhAOJUlgIpAgAASgQAAA4AAAAAAAAAAAAAAAAALgIAAGRycy9l&#10;Mm9Eb2MueG1sUEsBAi0AFAAGAAgAAAAhAGU72GLfAAAACgEAAA8AAAAAAAAAAAAAAAAAgwQAAGRy&#10;cy9kb3ducmV2LnhtbFBLBQYAAAAABAAEAPMAAACPBQAAAAA=&#10;"/>
            </w:pict>
          </mc:Fallback>
        </mc:AlternateContent>
      </w:r>
    </w:p>
    <w:p w:rsidR="001250D4" w:rsidRDefault="001250D4" w:rsidP="001250D4">
      <w:pPr>
        <w:pStyle w:val="Pargrafo"/>
        <w:tabs>
          <w:tab w:val="left" w:pos="709"/>
        </w:tabs>
        <w:spacing w:line="360" w:lineRule="auto"/>
        <w:ind w:firstLine="0"/>
        <w:rPr>
          <w:szCs w:val="24"/>
        </w:rPr>
      </w:pPr>
      <w:r>
        <w:rPr>
          <w:snapToGrid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177165</wp:posOffset>
                </wp:positionH>
                <wp:positionV relativeFrom="paragraph">
                  <wp:posOffset>52070</wp:posOffset>
                </wp:positionV>
                <wp:extent cx="991235" cy="294640"/>
                <wp:effectExtent l="0" t="0" r="18415" b="10160"/>
                <wp:wrapNone/>
                <wp:docPr id="14" name="Retângulo de cantos arredondado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1235" cy="294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E165F" w:rsidRDefault="00FE165F" w:rsidP="001250D4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49 óbitos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tângulo de cantos arredondados 14" o:spid="_x0000_s1027" style="position:absolute;left:0;text-align:left;margin-left:13.95pt;margin-top:4.1pt;width:78.05pt;height:23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Bk+TQIAAIsEAAAOAAAAZHJzL2Uyb0RvYy54bWysVFFy0zAQ/WeGO2j0Tx2HJCWeOp1OSxlm&#10;CnRaOMBGkm2BrDUrJU45DlfhYqzlNKTAF4M/NLta7dPue1qfne9aJ7aGgkVfyvxkIoXxCrX1dSk/&#10;fbx+8UqKEMFrcOhNKR9MkOer58/O+q4wU2zQaUOCQXwo+q6UTYxdkWVBNaaFcIKd8RyskFqI7FKd&#10;aYKe0VuXTSeTRdYj6Y5QmRB492oMylXCryqj4oeqCiYKV0quLaaV0roe1mx1BkVN0DVW7cuAf6ii&#10;Bev50gPUFUQQG7J/QLVWEQas4onCNsOqssqkHribfPJbN/cNdCb1wuSE7kBT+H+w6v32loTVrN1M&#10;Cg8ta3Rn4o/vvt44FNoIBT5iEEBkNLKOmh0+y8T1XSg4/767paH10N2g+hKEx8sGfG0uiLBvDGgu&#10;Nx/OZ08SBidwqlj371DztbCJmDjcVdQOgMyO2CWpHg5SmV0UijeXy3z6ci6F4tB0OVvMkpQZFI/J&#10;HYX4xmArBqOUhBuv7/g5pBtgexNikkvvewb9WYqqdSz+FpzIF4vFaaoZiv1hxn7ETN2is/raOpcc&#10;qteXjgSnlvI6ffvkcHzMedFz6fPpPFXxJBaOISbp+xtE6iM92oHZ114nO4J1o81VOr+nemB3VCnu&#10;1rtR5AFzYH6N+oG5JxwngieYjQbpmxQ9T0Mpw9cNkJHCvfWs3zKfMcMiJmc2P52yQ8eR9XEEvGKo&#10;UkYpRvMyjiO36cjWDd+UJwI8XrDmlY2Pj2Osal8+v3i2nozUsZ9O/fqHrH4CAAD//wMAUEsDBBQA&#10;BgAIAAAAIQDKBfag2wAAAAcBAAAPAAAAZHJzL2Rvd25yZXYueG1sTI/BTsMwEETvSPyDtUjcqEPU&#10;ljTNpkJIcEUEDhydeJtExOvUdtLA1+Oe4Dia0cyb4rCYQczkfG8Z4X6VgCBurO65Rfh4f77LQPig&#10;WKvBMiF8k4dDeX1VqFzbM7/RXIVWxBL2uULoQhhzKX3TkVF+ZUfi6B2tMypE6VqpnTrHcjPINEm2&#10;0qie40KnRnrqqPmqJoPQ6GRK3Of8uqs3ofqZpxPLlxPi7c3yuAcRaAl/YbjgR3QoI1NtJ9ZeDAjp&#10;wy4mEbIUxMXO1vFajbBZb0GWhfzPX/4CAAD//wMAUEsBAi0AFAAGAAgAAAAhALaDOJL+AAAA4QEA&#10;ABMAAAAAAAAAAAAAAAAAAAAAAFtDb250ZW50X1R5cGVzXS54bWxQSwECLQAUAAYACAAAACEAOP0h&#10;/9YAAACUAQAACwAAAAAAAAAAAAAAAAAvAQAAX3JlbHMvLnJlbHNQSwECLQAUAAYACAAAACEAzXwZ&#10;Pk0CAACLBAAADgAAAAAAAAAAAAAAAAAuAgAAZHJzL2Uyb0RvYy54bWxQSwECLQAUAAYACAAAACEA&#10;ygX2oNsAAAAHAQAADwAAAAAAAAAAAAAAAACnBAAAZHJzL2Rvd25yZXYueG1sUEsFBgAAAAAEAAQA&#10;8wAAAK8FAAAAAA==&#10;">
                <v:textbox>
                  <w:txbxContent>
                    <w:p w:rsidR="00FE165F" w:rsidRDefault="00FE165F" w:rsidP="001250D4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49 óbitos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napToGrid/>
        </w:rPr>
        <mc:AlternateContent>
          <mc:Choice Requires="wps">
            <w:drawing>
              <wp:anchor distT="4294967295" distB="4294967295" distL="114300" distR="114300" simplePos="0" relativeHeight="251652608" behindDoc="0" locked="0" layoutInCell="1" allowOverlap="1">
                <wp:simplePos x="0" y="0"/>
                <wp:positionH relativeFrom="column">
                  <wp:posOffset>1168400</wp:posOffset>
                </wp:positionH>
                <wp:positionV relativeFrom="paragraph">
                  <wp:posOffset>204469</wp:posOffset>
                </wp:positionV>
                <wp:extent cx="862965" cy="0"/>
                <wp:effectExtent l="0" t="0" r="13335" b="19050"/>
                <wp:wrapNone/>
                <wp:docPr id="15" name="Conector de seta ret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29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A8B2055" id="Conector de seta reta 15" o:spid="_x0000_s1026" type="#_x0000_t32" style="position:absolute;margin-left:92pt;margin-top:16.1pt;width:67.95pt;height:0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S9YJQIAAEgEAAAOAAAAZHJzL2Uyb0RvYy54bWysVMGO2yAQvVfqPyDuWcepkyZWnFVlJ71s&#10;u5F2+wEEsI2KAQGJE1X99w44jrLtparqAx48zJs3Mw+vH8+dRCdundCqwOnDFCOuqGZCNQX+9rqb&#10;LDFynihGpFa8wBfu8OPm/bt1b3I+062WjFsEIMrlvSlw673Jk8TRlnfEPWjDFThrbTviYWubhFnS&#10;A3onk9l0ukh6bZmxmnLn4Gs1OPEm4tc1p/65rh33SBYYuPm42rgewpps1iRvLDGtoFca5B9YdEQo&#10;SHqDqogn6GjFH1CdoFY7XfsHqrtE17WgPNYA1aTT36p5aYnhsRZojjO3Nrn/B0u/nvYWCQazm2Ok&#10;SAczKmFS1GuLGEfQOoJsWMAPzeqNyyGmVHsbyqVn9WKeNP3ukNJlS1TDI+nXiwGgNEQkb0LCxhlI&#10;eei/aAZnyNHr2LlzbbsACT1B5zigy21A/OwRhY/LxWy1AJ50dCUkH+OMdf4z1x0KRoGdt0Q0rYdi&#10;hmrSmIWcnpwPrEg+BoSkSu+ElFEMUqG+wKv5bB4DnJaCBWc45mxzKKVFJxLkFJ9YInjuj1l9VCyC&#10;tZyw7dX2RMjBhuRSBTyoC+hcrUEvP1bT1Xa5XWaTbLbYTrJpVU0+7cpsstilH+fVh6osq/RnoJZm&#10;eSsY4yqwG7WbZn+njestGlR3U++tDclb9NgvIDu+I+k42DDLQRUHzS57Ow4c5BoPX69WuA/3e7Dv&#10;fwCbXwAAAP//AwBQSwMEFAAGAAgAAAAhAIZnQ6/eAAAACQEAAA8AAABkcnMvZG93bnJldi54bWxM&#10;j81OwzAQhO9IvIO1lbig1kkKqAlxqgqJA8f+SFzdeJuExusodprQp+8iDnCc2dHsN/l6sq24YO8b&#10;RwriRQQCqXSmoUrBYf8+X4HwQZPRrSNU8I0e1sX9Xa4z40ba4mUXKsEl5DOtoA6hy6T0ZY1W+4Xr&#10;kPh2cr3VgWVfSdPrkcttK5MoepFWN8Qfat3hW43leTdYBeiH5zjapLY6fFzHx8/k+jV2e6UeZtPm&#10;FUTAKfyF4Qef0aFgpqMbyHjRsl498ZagYJkkIDiwjNMUxPHXkEUu/y8obgAAAP//AwBQSwECLQAU&#10;AAYACAAAACEAtoM4kv4AAADhAQAAEwAAAAAAAAAAAAAAAAAAAAAAW0NvbnRlbnRfVHlwZXNdLnht&#10;bFBLAQItABQABgAIAAAAIQA4/SH/1gAAAJQBAAALAAAAAAAAAAAAAAAAAC8BAABfcmVscy8ucmVs&#10;c1BLAQItABQABgAIAAAAIQBL0S9YJQIAAEgEAAAOAAAAAAAAAAAAAAAAAC4CAABkcnMvZTJvRG9j&#10;LnhtbFBLAQItABQABgAIAAAAIQCGZ0Ov3gAAAAkBAAAPAAAAAAAAAAAAAAAAAH8EAABkcnMvZG93&#10;bnJldi54bWxQSwUGAAAAAAQABADzAAAAigUAAAAA&#10;"/>
            </w:pict>
          </mc:Fallback>
        </mc:AlternateContent>
      </w:r>
      <w:r>
        <w:rPr>
          <w:szCs w:val="24"/>
        </w:rPr>
        <w:tab/>
      </w:r>
    </w:p>
    <w:p w:rsidR="001250D4" w:rsidRDefault="001250D4" w:rsidP="001250D4">
      <w:pPr>
        <w:pStyle w:val="Pargrafo"/>
        <w:tabs>
          <w:tab w:val="left" w:pos="709"/>
        </w:tabs>
        <w:spacing w:line="360" w:lineRule="auto"/>
        <w:ind w:firstLine="0"/>
      </w:pPr>
      <w:r>
        <w:rPr>
          <w:snapToGrid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177165</wp:posOffset>
                </wp:positionH>
                <wp:positionV relativeFrom="paragraph">
                  <wp:posOffset>153035</wp:posOffset>
                </wp:positionV>
                <wp:extent cx="991235" cy="297180"/>
                <wp:effectExtent l="0" t="0" r="18415" b="26670"/>
                <wp:wrapNone/>
                <wp:docPr id="13" name="Retângulo de cantos arredondado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1235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E165F" w:rsidRDefault="00FE165F" w:rsidP="001250D4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27 não incluídos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tângulo de cantos arredondados 13" o:spid="_x0000_s1028" style="position:absolute;left:0;text-align:left;margin-left:13.95pt;margin-top:12.05pt;width:78.05pt;height:23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UAKTgIAAIsEAAAOAAAAZHJzL2Uyb0RvYy54bWysVFFy0zAQ/WeGO2j0Tx27Sdp44nQ6LWWY&#10;KdBp4QCKJNsCWStWSpxyHK7CxVjLSUmBLwZ/aHa12qfd97ReXuw6y7YagwFX8fxkwpl2EpRxTcU/&#10;fbx5dc5ZiMIpYcHpij/qwC9WL18se1/qAlqwSiMjEBfK3le8jdGXWRZkqzsRTsBrR8EasBORXGwy&#10;haIn9M5mxWQyz3pA5RGkDoF2r8cgXyX8utYyfqjroCOzFafaYloxrethzVZLUTYofGvkvgzxD1V0&#10;wji69AnqWkTBNmj+gOqMRAhQxxMJXQZ1baROPVA3+eS3bh5a4XXqhcgJ/omm8P9g5fvtHTKjSLtT&#10;zpzoSKN7HX98d83GAlOaSeEiBCYQtQLSUZFDZ4m43oeS8h/8HQ6tB38L8ktgDq5a4Rp9iQh9q4Wi&#10;cvPhfPYsYXACpbJ1/w4UXSs2ERKHuxq7AZDYYbsk1eOTVHoXmaTNxSIvTmecSQoVi7P8PEmZifKQ&#10;7DHENxo6NhgVR9g4dU/PId0gtrchJrnUvmehPnNWd5bE3wrL8vl8fpZqFuX+MGEfMFO3YI26MdYm&#10;B5v1lUVGqRW/Sd8+ORwfs471VPqsmKUqnsXCMcQkfX+DSH2kRzsw+9qpZEdh7GhTldbtqR7YHVWK&#10;u/UuiVwMmAPza1CPxD3COBE0wWS0gN8462kaKh6+bgRqzuxbR/ot8ul0GJ/kTGdnBTl4HFkfR4ST&#10;BFXxyNloXsVx5DYeTdPSTXkiwMElaV6beHgcY1X78unFk/VspI79dOrXP2T1EwAA//8DAFBLAwQU&#10;AAYACAAAACEAttbte9wAAAAIAQAADwAAAGRycy9kb3ducmV2LnhtbEyPwU7DMBBE70j8g7VI3Kjd&#10;qtAmxKkQElwRgQNHJ16SiHid2k4a+Hq2JzitRjOafVMcFjeIGUPsPWlYrxQIpMbbnloN729PN3sQ&#10;MRmyZvCEGr4xwqG8vChMbv2JXnGuUiu4hGJuNHQpjbmUsenQmbjyIxJ7nz44k1iGVtpgTlzuBrlR&#10;6k460xN/6MyIjx02X9XkNDRWTSp8zC9ZfZuqn3k6knw+an19tTzcg0i4pL8wnPEZHUpmqv1ENopB&#10;w2aXcZLvdg3i7O+3vK3WsFMZyLKQ/weUvwAAAP//AwBQSwECLQAUAAYACAAAACEAtoM4kv4AAADh&#10;AQAAEwAAAAAAAAAAAAAAAAAAAAAAW0NvbnRlbnRfVHlwZXNdLnhtbFBLAQItABQABgAIAAAAIQA4&#10;/SH/1gAAAJQBAAALAAAAAAAAAAAAAAAAAC8BAABfcmVscy8ucmVsc1BLAQItABQABgAIAAAAIQDM&#10;xUAKTgIAAIsEAAAOAAAAAAAAAAAAAAAAAC4CAABkcnMvZTJvRG9jLnhtbFBLAQItABQABgAIAAAA&#10;IQC21u173AAAAAgBAAAPAAAAAAAAAAAAAAAAAKgEAABkcnMvZG93bnJldi54bWxQSwUGAAAAAAQA&#10;BADzAAAAsQUAAAAA&#10;">
                <v:textbox>
                  <w:txbxContent>
                    <w:p w:rsidR="00FE165F" w:rsidRDefault="00FE165F" w:rsidP="001250D4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27 não incluídos</w:t>
                      </w:r>
                    </w:p>
                  </w:txbxContent>
                </v:textbox>
              </v:roundrect>
            </w:pict>
          </mc:Fallback>
        </mc:AlternateContent>
      </w:r>
      <w:r>
        <w:tab/>
      </w:r>
    </w:p>
    <w:p w:rsidR="001250D4" w:rsidRDefault="001250D4" w:rsidP="001250D4">
      <w:pPr>
        <w:pStyle w:val="Pargrafo"/>
        <w:tabs>
          <w:tab w:val="left" w:pos="709"/>
        </w:tabs>
        <w:spacing w:line="360" w:lineRule="auto"/>
        <w:ind w:firstLine="0"/>
      </w:pPr>
      <w:r>
        <w:rPr>
          <w:snapToGrid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>
                <wp:simplePos x="0" y="0"/>
                <wp:positionH relativeFrom="column">
                  <wp:posOffset>1168400</wp:posOffset>
                </wp:positionH>
                <wp:positionV relativeFrom="paragraph">
                  <wp:posOffset>34289</wp:posOffset>
                </wp:positionV>
                <wp:extent cx="863600" cy="0"/>
                <wp:effectExtent l="0" t="0" r="12700" b="19050"/>
                <wp:wrapNone/>
                <wp:docPr id="12" name="Conector de seta ret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59E37A0" id="Conector de seta reta 12" o:spid="_x0000_s1026" type="#_x0000_t32" style="position:absolute;margin-left:92pt;margin-top:2.7pt;width:68pt;height:0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NI+JQIAAEgEAAAOAAAAZHJzL2Uyb0RvYy54bWysVMGO2yAQvVfqPyDuWdvZJE2sOKvKTnrZ&#10;tpF2+wEEsI2KAQGJE1X99w44jrLtparqAx48zJs3Mw+vn86dRCdundCqwNlDihFXVDOhmgJ/e91N&#10;lhg5TxQjUite4At3+Gnz/t26Nzmf6lZLxi0CEOXy3hS49d7kSeJoyzviHrThCpy1th3xsLVNwizp&#10;Ab2TyTRNF0mvLTNWU+4cfK0GJ95E/Lrm1H+ta8c9kgUGbj6uNq6HsCabNckbS0wr6JUG+QcWHREK&#10;kt6gKuIJOlrxB1QnqNVO1/6B6i7RdS0ojzVANVn6WzUvLTE81gLNcebWJvf/YOmX094iwWB2U4wU&#10;6WBGJUyKem0R4whaR5ANC/ihWb1xOcSUam9DufSsXsyzpt8dUrpsiWp4JP16MQCUhYjkTUjYOAMp&#10;D/1nzeAMOXodO3eubRcgoSfoHAd0uQ2Inz2i8HG5eFykMEY6uhKSj3HGOv+J6w4Fo8DOWyKa1kMx&#10;QzVZzEJOz84HViQfA0JSpXdCyigGqVBf4NV8Oo8BTkvBgjMcc7Y5lNKiEwlyik8sETz3x6w+KhbB&#10;Wk7Y9mp7IuRgQ3KpAh7UBXSu1qCXH6t0tV1ul7PJbLrYTmZpVU0+7srZZLHLPsyrx6osq+xnoJbN&#10;8lYwxlVgN2o3m/2dNq63aFDdTb23NiRv0WO/gOz4jqTjYMMsB1UcNLvs7ThwkGs8fL1a4T7c78G+&#10;/wFsfgEAAP//AwBQSwMEFAAGAAgAAAAhABVbXirbAAAABwEAAA8AAABkcnMvZG93bnJldi54bWxM&#10;j0FPwkAQhe8m/ofNmHAxsgXBYO2WEBIPHgUSr0N3bKvd2aa7pZVf78BFj1/e5L1vsvXoGnWiLtSe&#10;DcymCSjiwtuaSwOH/evDClSIyBYbz2TghwKs89ubDFPrB36n0y6WSko4pGigirFNtQ5FRQ7D1LfE&#10;kn36zmEU7EptOxyk3DV6niRP2mHNslBhS9uKiu9d7wxQ6JezZPPsysPbebj/mJ+/hnZvzORu3LyA&#10;ijTGv2O46Is65OJ09D3boBrh1UJ+iQaWC1CSP8ocqOOVdZ7p//75LwAAAP//AwBQSwECLQAUAAYA&#10;CAAAACEAtoM4kv4AAADhAQAAEwAAAAAAAAAAAAAAAAAAAAAAW0NvbnRlbnRfVHlwZXNdLnhtbFBL&#10;AQItABQABgAIAAAAIQA4/SH/1gAAAJQBAAALAAAAAAAAAAAAAAAAAC8BAABfcmVscy8ucmVsc1BL&#10;AQItABQABgAIAAAAIQAWVNI+JQIAAEgEAAAOAAAAAAAAAAAAAAAAAC4CAABkcnMvZTJvRG9jLnht&#10;bFBLAQItABQABgAIAAAAIQAVW14q2wAAAAcBAAAPAAAAAAAAAAAAAAAAAH8EAABkcnMvZG93bnJl&#10;di54bWxQSwUGAAAAAAQABADzAAAAhwUAAAAA&#10;"/>
            </w:pict>
          </mc:Fallback>
        </mc:AlternateContent>
      </w:r>
      <w:r>
        <w:rPr>
          <w:snapToGrid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1242060</wp:posOffset>
                </wp:positionH>
                <wp:positionV relativeFrom="paragraph">
                  <wp:posOffset>269875</wp:posOffset>
                </wp:positionV>
                <wp:extent cx="1565910" cy="316230"/>
                <wp:effectExtent l="0" t="0" r="15240" b="26670"/>
                <wp:wrapNone/>
                <wp:docPr id="8" name="Retângulo de cantos arredondado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5910" cy="3162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E165F" w:rsidRDefault="00FE165F" w:rsidP="001250D4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212 adultos elegíveis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tângulo de cantos arredondados 8" o:spid="_x0000_s1029" style="position:absolute;left:0;text-align:left;margin-left:97.8pt;margin-top:21.25pt;width:123.3pt;height:24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vUpTgIAAIoEAAAOAAAAZHJzL2Uyb0RvYy54bWysVF1uEzEQfkfiDpbf6WbTJm1X3VRVSxFS&#10;gaqFA0xs7w94PWbsZFOOw1W4GLPeNCTAE2IfrBmP5/PM93n24nLTWbE2FFp0pcyPJlIYp1C3ri7l&#10;p4+3r86kCBGcBovOlPLJBHm5ePnioveFmWKDVhsSDOJC0ftSNjH6IsuCakwH4Qi9cRyskDqI7FKd&#10;aYKe0TubTSeTedYjaU+oTAi8ezMG5SLhV5VR8UNVBROFLSXXFtNKaV0Oa7a4gKIm8E2rtmXAP1TR&#10;Qev40h3UDUQQK2r/gOpaRRiwikcKuwyrqlUm9cDd5JPfunlswJvUC5MT/I6m8P9g1fv1PYlWl5KF&#10;ctCxRA8m/vju6pVFoY1Q4CIGAURGI8uo2TkbaOt9KDj70d/T0Hjwd6i+BOHwugFXmysi7BsDmovN&#10;h/PZQcLgBE4Vy/4dar4VVhETg5uKugGQuRGbJNTTTiiziULxZj6bz85z1lNx7DifT4+TkhkUz9me&#10;QnxjsBODUUrCldMP/BrSFbC+CzGppbc9g/4sRdVZ1n4NVuTz+fw0FQ3F9jBjP2OmdtG2+ra1NjlU&#10;L68tCU4t5W36tslh/5h1oi/l+Ww6S1UcxMI+xCR9f4NIfaQ3O1D72ulkR2jtaHOV1m25HugdZYqb&#10;5SZpfDxgDtQvUT8x+YTjQPAAs9EgfZOi52EoZfi6AjJS2LeOBTzPT06G6UnOyex0yg7tR5b7EXCK&#10;oUoZpRjN6zhO3MpTWzd8U54IcHjFoldtfH4dY1Xb8vnBs3UwUft+OvXrF7L4CQAA//8DAFBLAwQU&#10;AAYACAAAACEApcuk8dsAAAAJAQAADwAAAGRycy9kb3ducmV2LnhtbEyPQU+EMBCF7yb+h2ZMvLmt&#10;FTaClI0x0asRPXgsdAQinbJtYdFfbz3p8WW+vPdNddjsxFb0YXSk4HongCF1zozUK3h7fby6BRai&#10;JqMnR6jgCwMc6vOzSpfGnegF1yb2LJVQKLWCIca55Dx0A1oddm5GSrcP562OKfqeG69PqdxOXAqx&#10;51aPlBYGPePDgN1ns1gFnRGL8O/rc9HmsflelyPxp6NSlxfb/R2wiFv8g+FXP6lDnZxat5AJbEq5&#10;yPcJVZDJHFgCskxKYK2CQt4Aryv+/4P6BwAA//8DAFBLAQItABQABgAIAAAAIQC2gziS/gAAAOEB&#10;AAATAAAAAAAAAAAAAAAAAAAAAABbQ29udGVudF9UeXBlc10ueG1sUEsBAi0AFAAGAAgAAAAhADj9&#10;If/WAAAAlAEAAAsAAAAAAAAAAAAAAAAALwEAAF9yZWxzLy5yZWxzUEsBAi0AFAAGAAgAAAAhAM32&#10;9SlOAgAAigQAAA4AAAAAAAAAAAAAAAAALgIAAGRycy9lMm9Eb2MueG1sUEsBAi0AFAAGAAgAAAAh&#10;AKXLpPHbAAAACQEAAA8AAAAAAAAAAAAAAAAAqAQAAGRycy9kb3ducmV2LnhtbFBLBQYAAAAABAAE&#10;APMAAACwBQAAAAA=&#10;">
                <v:textbox>
                  <w:txbxContent>
                    <w:p w:rsidR="00FE165F" w:rsidRDefault="00FE165F" w:rsidP="001250D4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212 adultos elegíveis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napToGrid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1275080</wp:posOffset>
                </wp:positionH>
                <wp:positionV relativeFrom="paragraph">
                  <wp:posOffset>1497965</wp:posOffset>
                </wp:positionV>
                <wp:extent cx="1565910" cy="290195"/>
                <wp:effectExtent l="0" t="0" r="15240" b="14605"/>
                <wp:wrapNone/>
                <wp:docPr id="3" name="Retângulo de cantos arredondado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5910" cy="2901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E165F" w:rsidRDefault="00FE165F" w:rsidP="001250D4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60 avaliados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tângulo de cantos arredondados 3" o:spid="_x0000_s1030" style="position:absolute;left:0;text-align:left;margin-left:100.4pt;margin-top:117.95pt;width:123.3pt;height:22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imOTgIAAIoEAAAOAAAAZHJzL2Uyb0RvYy54bWysVFFy0zAQ/WeGO2j0TxynSUo8dTqdlDLM&#10;FOi0cABFkm2BrBUrJU57HK7CxVjLbkmBLwZ/aHa12qfd97Q+Oz+0lu01BgOu5Plkypl2EpRxdck/&#10;f7p69ZqzEIVTwoLTJb/XgZ+vX74463yhZ9CAVRoZgbhQdL7kTYy+yLIgG92KMAGvHQUrwFZEcrHO&#10;FIqO0FubzabTZdYBKo8gdQi0ezkE+TrhV5WW8WNVBR2ZLTnVFtOKad32a7Y+E0WNwjdGjmWIf6ii&#10;FcbRpU9QlyIKtkPzB1RrJEKAKk4ktBlUlZE69UDd5NPfurlrhNepFyIn+Ceawv+DlR/2N8iMKvkJ&#10;Z060JNGtjj++u3pngSnNpHARAhOIWgHJqMg56WnrfCgo+87fYN948NcgvwbmYNMIV+sLROgaLRQV&#10;m/fns2cJvRMolW2796DoVrGLkBg8VNj2gMQNOySh7p+E0ofIJG3mi+VilZOekmKz1TRfLdIVonjM&#10;9hjiWw0t642SI+ycuqXXkK4Q++sQk1pq7FmoL5xVrSXt98KyfLlcno6I4+FMFI+YqV2wRl0Za5OD&#10;9XZjkVFqya/SNyaH42PWsa7kq8Vskap4FgvHENP0/Q0i9ZHebE/tG6eSHYWxg01VWjdy3dM7yBQP&#10;20PSeN5j9tRvQd0T+QjDQNAAk9EAPnDW0TCUPHzbCdSc2XeOBFzl83k/PcmZL05n5OBxZHscEU4S&#10;VMkjZ4O5icPE7TyauqGb8kSAgwsSvTLx8XUMVY3l04Mn69lEHfvp1K9fyPonAAAA//8DAFBLAwQU&#10;AAYACAAAACEAp0sk9N0AAAALAQAADwAAAGRycy9kb3ducmV2LnhtbEyPTU/DMAyG70j8h8hI3Fgy&#10;6MZWmk4ICa6IwoFj2pi2onG6JO0Kvx5zgps/Xj1+XBwWN4gZQ+w9aVivFAikxtueWg1vr49XOxAx&#10;GbJm8IQavjDCoTw/K0xu/YlecK5SKxhCMTcaupTGXMrYdOhMXPkRiXcfPjiTuA2ttMGcGO4Gea3U&#10;VjrTE1/ozIgPHTaf1eQ0NFZNKrzPz/t6k6rveTqSfDpqfXmx3N+BSLikvzD86rM6lOxU+4lsFIMG&#10;prN64uJmswfBiSy7zUDUPNmttyDLQv7/ofwBAAD//wMAUEsBAi0AFAAGAAgAAAAhALaDOJL+AAAA&#10;4QEAABMAAAAAAAAAAAAAAAAAAAAAAFtDb250ZW50X1R5cGVzXS54bWxQSwECLQAUAAYACAAAACEA&#10;OP0h/9YAAACUAQAACwAAAAAAAAAAAAAAAAAvAQAAX3JlbHMvLnJlbHNQSwECLQAUAAYACAAAACEA&#10;ABopjk4CAACKBAAADgAAAAAAAAAAAAAAAAAuAgAAZHJzL2Uyb0RvYy54bWxQSwECLQAUAAYACAAA&#10;ACEAp0sk9N0AAAALAQAADwAAAAAAAAAAAAAAAACoBAAAZHJzL2Rvd25yZXYueG1sUEsFBgAAAAAE&#10;AAQA8wAAALIFAAAAAA==&#10;">
                <v:textbox>
                  <w:txbxContent>
                    <w:p w:rsidR="00FE165F" w:rsidRDefault="00FE165F" w:rsidP="001250D4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60 avaliados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2044065</wp:posOffset>
                </wp:positionH>
                <wp:positionV relativeFrom="paragraph">
                  <wp:posOffset>589915</wp:posOffset>
                </wp:positionV>
                <wp:extent cx="635" cy="902970"/>
                <wp:effectExtent l="0" t="0" r="37465" b="11430"/>
                <wp:wrapNone/>
                <wp:docPr id="6" name="Conector de seta ret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02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7F14353" id="Conector de seta reta 6" o:spid="_x0000_s1026" type="#_x0000_t32" style="position:absolute;margin-left:160.95pt;margin-top:46.45pt;width:.05pt;height:71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CFGKAIAAEgEAAAOAAAAZHJzL2Uyb0RvYy54bWysVE2P2jAQvVfqf7B8hyRsyEJEWFUJ9LLt&#10;Iu32BxjbSawmtmUbAqr63zt2ALHtparKYRh/zJs3M89ZPZ36Dh25sULJAifTGCMuqWJCNgX+9rad&#10;LDCyjkhGOiV5gc/c4qf1xw+rQed8plrVMW4QgEibD7rArXM6jyJLW94TO1WaSzislemJg6VpImbI&#10;AOh9F83iOIsGZZg2inJrYbcaD/E64Nc1p+6lri13qCswcHPBmmD33kbrFckbQ3Qr6IUG+QcWPRES&#10;kt6gKuIIOhjxB1QvqFFW1W5KVR+puhaUhxqgmiT+rZrXlmgeaoHmWH1rk/1/sPTrcWeQYAXOMJKk&#10;hxGVMCjqlEGMI+gcQcabzLdq0DaHiFLujC+WnuSrflb0u0VSlS2RDQ+U384acBIfEb0L8QurIeF+&#10;+KIY3CEHp0LfTrXpPSR0BJ3CeM638fCTQxQ2s4c5RhT2l/Fs+RhmF5H8GqmNdZ+56pF3CmydIaJp&#10;HVQzlpOEPOT4bJ3nRfJrgE8r1VZ0XRBDJ9EAKeazeQiwqhPMH/pr1jT7sjPoSLycwi8UCSf314w6&#10;SBbAWk7Y5uI7IrrRh+Sd9HhQGdC5eKNefizj5WaxWaSTdJZtJmlcVZNP2zKdZNvkcV49VGVZJT89&#10;tSTNW8EYl57dVbtJ+nfauLyiUXU39d7aEL1HD/0Cstf/QDqM1k9z1MVesfPOXEcOcg2XL0/Lv4f7&#10;Nfj3H4D1LwAAAP//AwBQSwMEFAAGAAgAAAAhACwIS1PfAAAACgEAAA8AAABkcnMvZG93bnJldi54&#10;bWxMj8FOwzAMhu9IvENkJC6IpU01RLu604TEgSPbJK5Z47WFJqmadC17eswJTpblT7+/v9wuthcX&#10;GkPnHUK6SkCQq73pXINwPLw+PoMIUTuje+8I4ZsCbKvbm1IXxs/unS772AgOcaHQCG2MQyFlqFuy&#10;Oqz8QI5vZz9aHXkdG2lGPXO47aVKkidpdef4Q6sHemmp/tpPFoHCtE6TXW6b49t1fvhQ1895OCDe&#10;3y27DYhIS/yD4Vef1aFip5OfnAmiR8hUmjOKkCueDGRKcbkTgsrWKciqlP8rVD8AAAD//wMAUEsB&#10;Ai0AFAAGAAgAAAAhALaDOJL+AAAA4QEAABMAAAAAAAAAAAAAAAAAAAAAAFtDb250ZW50X1R5cGVz&#10;XS54bWxQSwECLQAUAAYACAAAACEAOP0h/9YAAACUAQAACwAAAAAAAAAAAAAAAAAvAQAAX3JlbHMv&#10;LnJlbHNQSwECLQAUAAYACAAAACEASqQhRigCAABIBAAADgAAAAAAAAAAAAAAAAAuAgAAZHJzL2Uy&#10;b0RvYy54bWxQSwECLQAUAAYACAAAACEALAhLU98AAAAKAQAADwAAAAAAAAAAAAAAAACCBAAAZHJz&#10;L2Rvd25yZXYueG1sUEsFBgAAAAAEAAQA8wAAAI4FAAAAAA==&#10;"/>
            </w:pict>
          </mc:Fallback>
        </mc:AlternateContent>
      </w:r>
      <w:r>
        <w:rPr>
          <w:snapToGrid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3267710</wp:posOffset>
                </wp:positionH>
                <wp:positionV relativeFrom="paragraph">
                  <wp:posOffset>117475</wp:posOffset>
                </wp:positionV>
                <wp:extent cx="848995" cy="274955"/>
                <wp:effectExtent l="0" t="0" r="27305" b="10795"/>
                <wp:wrapNone/>
                <wp:docPr id="11" name="Retângulo de cantos arredondado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2749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E165F" w:rsidRDefault="00FE165F" w:rsidP="001250D4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104 perdidos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tângulo de cantos arredondados 11" o:spid="_x0000_s1031" style="position:absolute;left:0;text-align:left;margin-left:257.3pt;margin-top:9.25pt;width:66.85pt;height:21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CnFTgIAAIsEAAAOAAAAZHJzL2Uyb0RvYy54bWysVFFu2zAM/R+wOwj6X50ESdoEdYqiXYcB&#10;3Va02wEYSba1yaJGKXG64/Qqu9hoxW3TbV/D/CGIIvlEvif69GzXOrE1FC36Uo6PRlIYr1BbX5fy&#10;y+erNydSxAReg0NvSnlvojxbvX512oWlmWCDThsSDOLjsgulbFIKy6KIqjEtxCMMxrOzQmohsUl1&#10;oQk6Rm9dMRmN5kWHpAOhMjHy6eXeKVcZv6qMSp+qKpokXCm5tpRXyuu6X4vVKSxrgtBYNZQB/1BF&#10;C9bzpU9Ql5BAbMj+AdVaRRixSkcK2wKryiqTe+BuxqPfurlrIJjcC5MTwxNN8f/Bqo/bGxJWs3Zj&#10;KTy0rNGtST8ffL1xKLQRCnzCKIDIaGQdNRscy8R1IS45/y7cUN96DNeovkXh8aIBX5tzIuwaA5rL&#10;zfHFi4TeiJwq1t0H1HwtbBJmDncVtT0gsyN2War7J6nMLgnFhyfTk8ViJoVi1+R4upjN+ooKWD4m&#10;B4rpncFW9JtSEm68vuXnkG+A7XVMWS499Az6qxRV61j8LTgxns/nxwPiEMzYj5i5W3RWX1nnskH1&#10;+sKR4NRSXuVvSI6HYc6LrpSL2WSWq3jhi4cQo/z9DSL3kR9tz+xbr/M+gXX7PVfpPBPxyO5epbRb&#10;77LImaXet0Z9z9wT7ieCJ5g3DdIPKTqehlLG7xsgI4V771m/xXg67ccnG9PZ8YQNOvSsDz3gFUOV&#10;Mkmx316k/chtAtm64ZvGmQCP56x5ZVMv3XNVg8EvPis6TGc/Uod2jnr+h6x+AQAA//8DAFBLAwQU&#10;AAYACAAAACEAxQvE5dsAAAAJAQAADwAAAGRycy9kb3ducmV2LnhtbEyPwU6EMBCG7ya+QzMm3twW&#10;XQgiZWNM9GpEDx4LHYFIpywtLPr0jie9zeT/8s835WFzo1hxDoMnDclOgUBqvR2o0/D2+niVgwjR&#10;kDWjJ9TwhQEO1flZaQrrT/SCax07wSUUCqOhj3EqpAxtj86EnZ+QOPvwszOR17mTdjYnLnejvFYq&#10;k84MxBd6M+FDj+1nvTgNrVWLmt/X59smjfX3uhxJPh21vrzY7u9ARNziHwy/+qwOFTs1fiEbxKgh&#10;TfYZoxzkKQgGsn1+A6LhIclBVqX8/0H1AwAA//8DAFBLAQItABQABgAIAAAAIQC2gziS/gAAAOEB&#10;AAATAAAAAAAAAAAAAAAAAAAAAABbQ29udGVudF9UeXBlc10ueG1sUEsBAi0AFAAGAAgAAAAhADj9&#10;If/WAAAAlAEAAAsAAAAAAAAAAAAAAAAALwEAAF9yZWxzLy5yZWxzUEsBAi0AFAAGAAgAAAAhAFHg&#10;KcVOAgAAiwQAAA4AAAAAAAAAAAAAAAAALgIAAGRycy9lMm9Eb2MueG1sUEsBAi0AFAAGAAgAAAAh&#10;AMULxOXbAAAACQEAAA8AAAAAAAAAAAAAAAAAqAQAAGRycy9kb3ducmV2LnhtbFBLBQYAAAAABAAE&#10;APMAAACwBQAAAAA=&#10;">
                <v:textbox>
                  <w:txbxContent>
                    <w:p w:rsidR="00FE165F" w:rsidRDefault="00FE165F" w:rsidP="001250D4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104 perdidos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napToGrid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3267710</wp:posOffset>
                </wp:positionH>
                <wp:positionV relativeFrom="paragraph">
                  <wp:posOffset>444500</wp:posOffset>
                </wp:positionV>
                <wp:extent cx="848995" cy="240665"/>
                <wp:effectExtent l="0" t="0" r="27305" b="26035"/>
                <wp:wrapNone/>
                <wp:docPr id="9" name="Retângulo de cantos arredondado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2406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E165F" w:rsidRDefault="00FE165F" w:rsidP="001250D4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 recusas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tângulo de cantos arredondados 9" o:spid="_x0000_s1032" style="position:absolute;left:0;text-align:left;margin-left:257.3pt;margin-top:35pt;width:66.85pt;height:18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LXPTAIAAIkEAAAOAAAAZHJzL2Uyb0RvYy54bWysVOFu0zAQ/o/EO1j+z9JWbbZGTaepowhp&#10;wLTBA7i2kxgcnzm7Tcfj8Cq8GBcnGx3wC5Ef1p3P9/nu+3xZXR5byw4agwFX8unZhDPtJCjj6pJ/&#10;+rh9dcFZiMIpYcHpkj/owC/XL1+sOl/oGTRglUZGIC4UnS95E6MvsizIRrcinIHXjoIVYCsiuVhn&#10;CkVH6K3NZpNJnnWAyiNIHQLtXg9Bvk74VaVl/FBVQUdmS061xbRiWnf9mq1XoqhR+MbIsQzxD1W0&#10;wji69AnqWkTB9mj+gGqNRAhQxTMJbQZVZaROPVA308lv3dw3wuvUC5ET/BNN4f/ByveHW2RGlXzJ&#10;mRMtSXSn44/vrt5bYEozKVyEwASiVkAyKnKWPW2dDwVl3/tb7BsP/gbkl8AcbBrhan2FCF2jhaJi&#10;p/357FlC7wRKZbvuHSi6VewjJAaPFbY9IHHDjkmohyeh9DEySZsX84vlcsGZpNBsPsnzRbpBFI/J&#10;HkN8o6FlvVFyhL1Td/QY0g3icBNiEkuNLQv1mbOqtST9QVg2zfP8fEQcD2eieMRM3YI1amusTQ7W&#10;u41FRqkl36ZvTA6nx6xjHdG8mC1SFc9i4RRikr6/QaQ+0pPtmX3tVLKjMHawqUrrRqp7dgeV4nF3&#10;TBLnPWbP/A7UA3GPMMwDzS8ZDeA3zjqahZKHr3uBmjP71pF+y+l83g9PcuaL8xk5eBrZnUaEkwRV&#10;8sjZYG7iMHB7j6Zu6KZpIsDBFWlemfj4OIaqxvLpvZP1bKBO/XTq1x9k/RMAAP//AwBQSwMEFAAG&#10;AAgAAAAhABXU7o7eAAAACgEAAA8AAABkcnMvZG93bnJldi54bWxMj8FOwzAQRO9I/IO1SNyoXWjT&#10;No1TISS4IgIHjk68JFHjdRo7aeDrWU70uNqnmTfZYXadmHAIrScNy4UCgVR521Kt4eP9+W4LIkRD&#10;1nSeUMM3Bjjk11eZSa0/0xtORawFh1BIjYYmxj6VMlQNOhMWvkfi35cfnIl8DrW0gzlzuOvkvVKJ&#10;dKYlbmhMj08NVsdidBoqq0Y1fE6vu3Idi59pPJF8OWl9ezM/7kFEnOM/DH/6rA45O5V+JBtEp2G9&#10;XCWMatgo3sRAsto+gCiZVJsdyDyTlxPyXwAAAP//AwBQSwECLQAUAAYACAAAACEAtoM4kv4AAADh&#10;AQAAEwAAAAAAAAAAAAAAAAAAAAAAW0NvbnRlbnRfVHlwZXNdLnhtbFBLAQItABQABgAIAAAAIQA4&#10;/SH/1gAAAJQBAAALAAAAAAAAAAAAAAAAAC8BAABfcmVscy8ucmVsc1BLAQItABQABgAIAAAAIQCi&#10;fLXPTAIAAIkEAAAOAAAAAAAAAAAAAAAAAC4CAABkcnMvZTJvRG9jLnhtbFBLAQItABQABgAIAAAA&#10;IQAV1O6O3gAAAAoBAAAPAAAAAAAAAAAAAAAAAKYEAABkcnMvZG93bnJldi54bWxQSwUGAAAAAAQA&#10;BADzAAAAsQUAAAAA&#10;">
                <v:textbox>
                  <w:txbxContent>
                    <w:p w:rsidR="00FE165F" w:rsidRDefault="00FE165F" w:rsidP="001250D4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10 recusas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napToGrid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2479675</wp:posOffset>
                </wp:positionH>
                <wp:positionV relativeFrom="paragraph">
                  <wp:posOffset>915035</wp:posOffset>
                </wp:positionV>
                <wp:extent cx="1103630" cy="387985"/>
                <wp:effectExtent l="0" t="0" r="20320" b="12065"/>
                <wp:wrapNone/>
                <wp:docPr id="5" name="Retângulo de cantos arredondado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3630" cy="3879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E165F" w:rsidRDefault="00FE165F" w:rsidP="001250D4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38 aceitaram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 xml:space="preserve"> mas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não compareceram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tângulo de cantos arredondados 5" o:spid="_x0000_s1033" style="position:absolute;left:0;text-align:left;margin-left:195.25pt;margin-top:72.05pt;width:86.9pt;height:30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h9FTgIAAIoEAAAOAAAAZHJzL2Uyb0RvYy54bWysVFFy0zAQ/WeGO2j0Tx2nTdp64nQ6LWWY&#10;KdBp4QAbSbYFstaslDjlOFyFi7GW05IAXwz+0OxqtU+772m9uNi2TmwMBYu+lPnRRArjFWrr61J+&#10;+njz6kyKEMFrcOhNKR9NkBfLly8WfVeYKTbotCHBID4UfVfKJsauyLKgGtNCOMLOeA5WSC1EdqnO&#10;NEHP6K3LppPJPOuRdEeoTAi8ez0G5TLhV5VR8UNVBROFKyXXFtNKaV0Na7ZcQFETdI1VuzLgH6po&#10;wXq+9BnqGiKINdk/oFqrCANW8Uhhm2FVWWVSD9xNPvmtm4cGOpN6YXJC90xT+H+w6v3mjoTVpZxJ&#10;4aFlie5N/PHd12uHQhuhwEcMAoiMRpZRszMbaOu7UHD2Q3dHQ+Ohu0X1JQiPVw342lwSYd8Y0Fxs&#10;PpzPDhIGJ3CqWPXvUPOtsI6YGNxW1A6AzI3YJqEen4Uy2ygUb+b55Hh+zHoqjh2fnZ6fpZIyKJ6y&#10;OwrxjcFWDEYpCdde3/NrSFfA5jbEpJbe9Qz6sxRV61j7DTiRz+fz01Q0FLvDjP2EmdpFZ/WNdS45&#10;VK+uHAlOLeVN+nbJYf+Y86Iv5flsOktVHMTCPsQkfX+DSH2kNztQ+9rrZEewbrS5Sud3XA/0jjLF&#10;7WqbNE49DdSvUD8y+YTjQPAAs9EgfZOi52EoZfi6BjJSuLeeBTzPT06G6UnOyex0yg7tR1b7EfCK&#10;oUoZpRjNqzhO3LojWzd8U54I8HjJolc2Pr2Osapd+fzg2TqYqH0/nfr1C1n+BAAA//8DAFBLAwQU&#10;AAYACAAAACEAdEYPf94AAAALAQAADwAAAGRycy9kb3ducmV2LnhtbEyPQU+EMBCF7yb+h2ZMvLnt&#10;srBxkbIxJno1ogePhY5ApFOWFhb99Y4nPU7el/e+KY6rG8SCU+g9adhuFAikxtueWg1vr483tyBC&#10;NGTN4Ak1fGGAY3l5UZjc+jO94FLFVnAJhdxo6GIccylD06EzYeNHJM4+/ORM5HNqpZ3MmcvdIBOl&#10;9tKZnnihMyM+dNh8VrPT0Fg1q+l9eT7UWay+l/lE8umk9fXVen8HIuIa/2D41Wd1KNmp9jPZIAYN&#10;u4PKGOUgTbcgmMj26Q5ErSFRWQKyLOT/H8ofAAAA//8DAFBLAQItABQABgAIAAAAIQC2gziS/gAA&#10;AOEBAAATAAAAAAAAAAAAAAAAAAAAAABbQ29udGVudF9UeXBlc10ueG1sUEsBAi0AFAAGAAgAAAAh&#10;ADj9If/WAAAAlAEAAAsAAAAAAAAAAAAAAAAALwEAAF9yZWxzLy5yZWxzUEsBAi0AFAAGAAgAAAAh&#10;ALqaH0VOAgAAigQAAA4AAAAAAAAAAAAAAAAALgIAAGRycy9lMm9Eb2MueG1sUEsBAi0AFAAGAAgA&#10;AAAhAHRGD3/eAAAACwEAAA8AAAAAAAAAAAAAAAAAqAQAAGRycy9kb3ducmV2LnhtbFBLBQYAAAAA&#10;BAAEAPMAAACzBQAAAAA=&#10;">
                <v:textbox>
                  <w:txbxContent>
                    <w:p w:rsidR="00FE165F" w:rsidRDefault="00FE165F" w:rsidP="001250D4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38 aceitaram</w:t>
                      </w:r>
                      <w:proofErr w:type="gramStart"/>
                      <w:r>
                        <w:rPr>
                          <w:sz w:val="18"/>
                        </w:rPr>
                        <w:t xml:space="preserve"> mas</w:t>
                      </w:r>
                      <w:proofErr w:type="gramEnd"/>
                      <w:r>
                        <w:rPr>
                          <w:sz w:val="18"/>
                        </w:rPr>
                        <w:t xml:space="preserve"> não compareceram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napToGrid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281940</wp:posOffset>
                </wp:positionV>
                <wp:extent cx="490220" cy="635"/>
                <wp:effectExtent l="0" t="0" r="24130" b="37465"/>
                <wp:wrapNone/>
                <wp:docPr id="10" name="Conector de seta ret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02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9B34D70" id="Conector de seta reta 10" o:spid="_x0000_s1026" type="#_x0000_t32" style="position:absolute;margin-left:218.7pt;margin-top:22.2pt;width:38.6pt;height: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STVJwIAAEoEAAAOAAAAZHJzL2Uyb0RvYy54bWysVE2P2yAQvVfqf0C+Z/2xTppYcVaVnfSy&#10;bSPt9gcQwDYqBgQkTlT1v3fATrRpL1VVH/DgYd68mXl4/XTuBToxY7mSZZQ+JBFikijKZVtG3153&#10;s2WErMOSYqEkK6MLs9HT5v279aALlqlOCcoMAhBpi0GXUeecLuLYko712D4ozSQ4G2V67GBr2pga&#10;PAB6L+IsSRbxoAzVRhFmLXytR2e0CfhNw4j72jSWOSTKCLi5sJqwHvwab9a4aA3WHScTDfwPLHrM&#10;JSS9QdXYYXQ0/A+onhOjrGrcA1F9rJqGExZqgGrS5LdqXjqsWagFmmP1rU32/8GSL6e9QZzC7KA9&#10;EvcwowomRZwyiDIErcPI+AX80KxB2wJiKrk3vlxyli/6WZHvFklVdVi2LJB+vWgASn1EfBfiN1ZD&#10;ysPwWVE4g49Ohc6dG9N7SOgJOocBXW4DYmeHCHzMV0mWAU8CrsXjPMDj4hqpjXWfmOqRN8rIOoN5&#10;2zkoZ6wnDXnw6dk6zwsX1wCfVqodFyLIQUg0lNFqns1DgFWCU+/0x6xpD5Uw6IS9oMIzsbg7ZtRR&#10;0gDWMUy3k+0wF6MNyYX0eFAZ0JmsUTE/Vslqu9wu81meLbazPKnr2cddlc8Wu/TDvH6sq6pOf3pq&#10;aV50nFImPburetP879Qx3aNRdzf93toQ36OHfgHZ6zuQDqP10xx1cVD0sjfXkYNgw+Hpcvkb8XYP&#10;9ttfwOYXAAAA//8DAFBLAwQUAAYACAAAACEA73tIuN4AAAAJAQAADwAAAGRycy9kb3ducmV2Lnht&#10;bEyPT0/CQBDF7yZ+h82YcDGyLbaopVtCSDx4FEi8Lt2xrXRnm+6WVj69wwlP8+/lvd/k68m24oy9&#10;bxwpiOcRCKTSmYYqBYf9+9MrCB80Gd06QgW/6GFd3N/lOjNupE8870Il2IR8phXUIXSZlL6s0Wo/&#10;dx0S375db3Xgsa+k6fXI5raViyhaSqsb4oRad7itsTztBqsA/ZDG0ebNVoePy/j4tbj8jN1eqdnD&#10;tFmBCDiFmxiu+IwOBTMd3UDGi1ZB8vySsJSbhCsL0jhZgjheFynIIpf/Pyj+AAAA//8DAFBLAQIt&#10;ABQABgAIAAAAIQC2gziS/gAAAOEBAAATAAAAAAAAAAAAAAAAAAAAAABbQ29udGVudF9UeXBlc10u&#10;eG1sUEsBAi0AFAAGAAgAAAAhADj9If/WAAAAlAEAAAsAAAAAAAAAAAAAAAAALwEAAF9yZWxzLy5y&#10;ZWxzUEsBAi0AFAAGAAgAAAAhADFVJNUnAgAASgQAAA4AAAAAAAAAAAAAAAAALgIAAGRycy9lMm9E&#10;b2MueG1sUEsBAi0AFAAGAAgAAAAhAO97SLjeAAAACQEAAA8AAAAAAAAAAAAAAAAAgQQAAGRycy9k&#10;b3ducmV2LnhtbFBLBQYAAAAABAAEAPMAAACMBQAAAAA=&#10;"/>
            </w:pict>
          </mc:Fallback>
        </mc:AlternateContent>
      </w:r>
      <w:r>
        <w:rPr>
          <w:snapToGrid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2762250</wp:posOffset>
                </wp:positionH>
                <wp:positionV relativeFrom="paragraph">
                  <wp:posOffset>577850</wp:posOffset>
                </wp:positionV>
                <wp:extent cx="508635" cy="635"/>
                <wp:effectExtent l="0" t="0" r="24765" b="37465"/>
                <wp:wrapNone/>
                <wp:docPr id="7" name="Conector de seta ret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ECBD592" id="Conector de seta reta 7" o:spid="_x0000_s1026" type="#_x0000_t32" style="position:absolute;margin-left:217.5pt;margin-top:45.5pt;width:40.05pt;height: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fwjJwIAAEgEAAAOAAAAZHJzL2Uyb0RvYy54bWysVMGO2jAQvVfqP1i+QxI2sBARVlUCvWy7&#10;SLv9AGM7idXEtmxDQFX/vWMn0NJeqqochrHH8/zmzTjrp3PXohM3ViiZ42QaY8QlVUzIOsdf3naT&#10;JUbWEclIqyTP8YVb/LR5/27d64zPVKNaxg0CEGmzXue4cU5nUWRpwztip0pzCcFKmY44WJo6Yob0&#10;gN610SyOF1GvDNNGUW4t7JZDEG8CflVx6l6qynKH2hwDNxesCfbgbbRZk6w2RDeCjjTIP7DoiJBw&#10;6Q2qJI6goxF/QHWCGmVV5aZUdZGqKkF5qAGqSeLfqnltiOahFhDH6ptM9v/B0s+nvUGC5fgRI0k6&#10;aFEBjaJOGcQ4AuUIMt48eql6bTPIKOTe+GLpWb7qZ0W/WiRV0RBZ80D57aIBJ/EZ0V2KX1gNFx76&#10;T4rBGXJ0Kuh2rkznIUERdA7tudzaw88OUdicx8vFwxwjCiHveHiSXTO1se4jVx3yTo6tM0TUjYNq&#10;hnKScA85PVs3JF4T/LVS7UTbwj7JWon6HK/ms3lIsKoVzAd9zJr6ULQGnYgfp/AbWdwdM+ooWQBr&#10;OGHb0XdEtIMPrFvp8aAyoDN6w7x8W8Wr7XK7TCfpbLGdpHFZTj7sinSy2CWP8/KhLIoy+e6pJWnW&#10;CMa49Oyus5ukfzcb4ysapu42vTcZonv0IDSQvf4H0qG1vpvDXBwUu+yNl9Z3GcY1HB6fln8Pv67D&#10;qZ8fgM0PAAAA//8DAFBLAwQUAAYACAAAACEAg8dMgt8AAAAJAQAADwAAAGRycy9kb3ducmV2Lnht&#10;bEyPQU/DMAyF70j8h8hIuyCWZlDEStNpmsSBI9skrllj2m6NUzXpWvbr8U7sZNnv6fl7+WpyrThj&#10;HxpPGtQ8AYFUettQpWG/+3h6AxGiIWtaT6jhFwOsivu73GTWj/SF522sBIdQyIyGOsYukzKUNToT&#10;5r5DYu3H985EXvtK2t6MHO5auUiSV+lMQ/yhNh1uaixP28FpwDCkKlkvXbX/vIyP34vLcex2Ws8e&#10;pvU7iIhT/DfDFZ/RoWCmgx/IBtFqeHlOuUvUsFQ82ZCqVIE4XA8KZJHL2wbFHwAAAP//AwBQSwEC&#10;LQAUAAYACAAAACEAtoM4kv4AAADhAQAAEwAAAAAAAAAAAAAAAAAAAAAAW0NvbnRlbnRfVHlwZXNd&#10;LnhtbFBLAQItABQABgAIAAAAIQA4/SH/1gAAAJQBAAALAAAAAAAAAAAAAAAAAC8BAABfcmVscy8u&#10;cmVsc1BLAQItABQABgAIAAAAIQCqVfwjJwIAAEgEAAAOAAAAAAAAAAAAAAAAAC4CAABkcnMvZTJv&#10;RG9jLnhtbFBLAQItABQABgAIAAAAIQCDx0yC3wAAAAkBAAAPAAAAAAAAAAAAAAAAAIEEAABkcnMv&#10;ZG93bnJldi54bWxQSwUGAAAAAAQABADzAAAAjQUAAAAA&#10;"/>
            </w:pict>
          </mc:Fallback>
        </mc:AlternateContent>
      </w:r>
      <w:r>
        <w:rPr>
          <w:snapToGrid/>
        </w:rPr>
        <mc:AlternateContent>
          <mc:Choice Requires="wps">
            <w:drawing>
              <wp:anchor distT="4294967295" distB="4294967295" distL="114300" distR="114300" simplePos="0" relativeHeight="251663872" behindDoc="0" locked="0" layoutInCell="1" allowOverlap="1">
                <wp:simplePos x="0" y="0"/>
                <wp:positionH relativeFrom="column">
                  <wp:posOffset>2045970</wp:posOffset>
                </wp:positionH>
                <wp:positionV relativeFrom="paragraph">
                  <wp:posOffset>1131569</wp:posOffset>
                </wp:positionV>
                <wp:extent cx="433705" cy="0"/>
                <wp:effectExtent l="0" t="0" r="23495" b="19050"/>
                <wp:wrapNone/>
                <wp:docPr id="4" name="Conector de seta ret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EFB0E43" id="Conector de seta reta 4" o:spid="_x0000_s1026" type="#_x0000_t32" style="position:absolute;margin-left:161.1pt;margin-top:89.1pt;width:34.15pt;height:0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K9tJAIAAEYEAAAOAAAAZHJzL2Uyb0RvYy54bWysU8GO2yAQvVfqPyDuie3E2U2sOKvKTnrZ&#10;diPt9gMIYBvVBgQkTlT13zvgOMq2l6qqD3hgmDdvZh7rp3PXohM3ViiZ42QaY8QlVUzIOsff3naT&#10;JUbWEclIqyTP8YVb/LT5+GHd64zPVKNaxg0CEGmzXue4cU5nUWRpwztip0pzCc5KmY442Jo6Yob0&#10;gN610SyOH6JeGaaNotxaOC0HJ94E/Kri1L1UleUOtTkGbi6sJqwHv0abNclqQ3Qj6JUG+QcWHRES&#10;kt6gSuIIOhrxB1QnqFFWVW5KVRepqhKUhxqgmiT+rZrXhmgeaoHmWH1rk/1/sPTraW+QYDlOMZKk&#10;gxEVMCjqlEGMI+gcQcYvqW9Vr20GEYXcG18sPctX/azod4ukKhoiax4ov1004CQ+InoX4jdWQ8JD&#10;/0UxuEOOToW+nSvTeUjoCDqH8Vxu4+FnhygcpvP5Y7zAiI6uiGRjnDbWfeaqQ97IsXWGiLpxUMtQ&#10;TBKykNOzdZ4VycYAn1SqnWjbIIVWoj7Hq8VsEQKsagXzTn/NmvpQtAadiBdT+EKJ4Lm/ZtRRsgDW&#10;cMK2V9sR0Q42JG+lx4O6gM7VGtTyYxWvtsvtMp2ks4ftJI3LcvJpV6STh13yuCjnZVGUyU9PLUmz&#10;RjDGpWc3KjdJ/04Z1zc0aO6m3VsbovfooV9AdvwH0mGwfpaDKg6KXfZmHDiINVy+Piz/Gu73YN8/&#10;/80vAAAA//8DAFBLAwQUAAYACAAAACEAWs5Uid4AAAALAQAADwAAAGRycy9kb3ducmV2LnhtbEyP&#10;QU/DMAyF70j8h8hIXBBLlmmwlabThMSBI9skrllj2kLjVE26lv16jITEbrbf0/P38s3kW3HCPjaB&#10;DMxnCgRSGVxDlYHD/uV+BSImS862gdDAN0bYFNdXuc1cGOkNT7tUCQ6hmFkDdUpdJmUsa/Q2zkKH&#10;xNpH6L1NvPaVdL0dOdy3Uiv1IL1tiD/UtsPnGsuv3eANYByWc7Vd++rweh7v3vX5c+z2xtzeTNsn&#10;EAmn9G+GX3xGh4KZjmEgF0VrYKG1ZisLjyse2LFYqyWI499FFrm87FD8AAAA//8DAFBLAQItABQA&#10;BgAIAAAAIQC2gziS/gAAAOEBAAATAAAAAAAAAAAAAAAAAAAAAABbQ29udGVudF9UeXBlc10ueG1s&#10;UEsBAi0AFAAGAAgAAAAhADj9If/WAAAAlAEAAAsAAAAAAAAAAAAAAAAALwEAAF9yZWxzLy5yZWxz&#10;UEsBAi0AFAAGAAgAAAAhAHPAr20kAgAARgQAAA4AAAAAAAAAAAAAAAAALgIAAGRycy9lMm9Eb2Mu&#10;eG1sUEsBAi0AFAAGAAgAAAAhAFrOVIneAAAACwEAAA8AAAAAAAAAAAAAAAAAfgQAAGRycy9kb3du&#10;cmV2LnhtbFBLBQYAAAAABAAEAPMAAACJBQAAAAA=&#10;"/>
            </w:pict>
          </mc:Fallback>
        </mc:AlternateContent>
      </w:r>
    </w:p>
    <w:p w:rsidR="001250D4" w:rsidRDefault="001250D4" w:rsidP="001250D4">
      <w:pPr>
        <w:pStyle w:val="Pargrafo"/>
        <w:tabs>
          <w:tab w:val="left" w:pos="709"/>
        </w:tabs>
        <w:spacing w:line="360" w:lineRule="auto"/>
        <w:ind w:firstLine="0"/>
      </w:pPr>
    </w:p>
    <w:p w:rsidR="001250D4" w:rsidRDefault="001250D4" w:rsidP="001250D4">
      <w:pPr>
        <w:pStyle w:val="Pargrafo"/>
        <w:tabs>
          <w:tab w:val="left" w:pos="709"/>
        </w:tabs>
        <w:spacing w:line="360" w:lineRule="auto"/>
        <w:ind w:firstLine="0"/>
      </w:pPr>
    </w:p>
    <w:p w:rsidR="001250D4" w:rsidRDefault="001250D4" w:rsidP="001250D4">
      <w:pPr>
        <w:pStyle w:val="Pargrafo"/>
        <w:tabs>
          <w:tab w:val="left" w:pos="709"/>
        </w:tabs>
        <w:spacing w:line="360" w:lineRule="auto"/>
        <w:ind w:firstLine="0"/>
      </w:pPr>
    </w:p>
    <w:p w:rsidR="001250D4" w:rsidRDefault="001250D4" w:rsidP="001250D4">
      <w:pPr>
        <w:pStyle w:val="Pargrafo"/>
        <w:tabs>
          <w:tab w:val="left" w:pos="709"/>
        </w:tabs>
        <w:spacing w:line="360" w:lineRule="auto"/>
        <w:ind w:firstLine="0"/>
      </w:pPr>
    </w:p>
    <w:p w:rsidR="001250D4" w:rsidRDefault="001250D4" w:rsidP="001250D4">
      <w:pPr>
        <w:pStyle w:val="Pargrafo"/>
        <w:tabs>
          <w:tab w:val="left" w:pos="709"/>
        </w:tabs>
        <w:spacing w:line="360" w:lineRule="auto"/>
        <w:ind w:firstLine="0"/>
      </w:pPr>
    </w:p>
    <w:p w:rsidR="001250D4" w:rsidRDefault="001250D4" w:rsidP="001250D4">
      <w:pPr>
        <w:pStyle w:val="Pargrafo"/>
        <w:tabs>
          <w:tab w:val="left" w:pos="709"/>
        </w:tabs>
        <w:spacing w:line="360" w:lineRule="auto"/>
        <w:ind w:firstLine="0"/>
      </w:pPr>
    </w:p>
    <w:p w:rsidR="001250D4" w:rsidRDefault="001250D4" w:rsidP="001250D4">
      <w:pPr>
        <w:pStyle w:val="Pargrafo"/>
        <w:spacing w:line="360" w:lineRule="auto"/>
        <w:ind w:firstLine="0"/>
        <w:jc w:val="left"/>
        <w:rPr>
          <w:rFonts w:ascii="Times New Roman" w:hAnsi="Times New Roman"/>
          <w:szCs w:val="24"/>
        </w:rPr>
      </w:pPr>
    </w:p>
    <w:p w:rsidR="001250D4" w:rsidRDefault="001250D4" w:rsidP="001250D4">
      <w:pPr>
        <w:pStyle w:val="Pargrafo"/>
        <w:tabs>
          <w:tab w:val="left" w:pos="709"/>
        </w:tabs>
        <w:spacing w:line="36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</w:rPr>
        <w:t xml:space="preserve">Os indivíduos foram avaliados aproximadamente nove meses após alta hospitalar, variando de seis </w:t>
      </w:r>
      <w:r w:rsidR="004F1228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 xml:space="preserve">24 meses; período no qual a maioria das alterações metabólicas retornam ao normal. </w:t>
      </w:r>
      <w:r>
        <w:rPr>
          <w:rFonts w:ascii="Times New Roman" w:hAnsi="Times New Roman"/>
          <w:szCs w:val="24"/>
        </w:rPr>
        <w:t xml:space="preserve">Verificou-se o predomínio do sexo masculino (60%); 34 indivíduos (57%) encontravam-se acima do peso, com uma média do IMC de 26,5 </w:t>
      </w:r>
      <w:r>
        <w:rPr>
          <w:rFonts w:ascii="Times New Roman" w:hAnsi="Times New Roman"/>
          <w:szCs w:val="24"/>
          <w:u w:val="single"/>
        </w:rPr>
        <w:t>+</w:t>
      </w:r>
      <w:r>
        <w:rPr>
          <w:rFonts w:ascii="Times New Roman" w:hAnsi="Times New Roman"/>
          <w:szCs w:val="24"/>
        </w:rPr>
        <w:t xml:space="preserve"> 5,1 kg/m</w:t>
      </w:r>
      <w:r>
        <w:rPr>
          <w:rFonts w:ascii="Times New Roman" w:hAnsi="Times New Roman"/>
          <w:szCs w:val="24"/>
          <w:vertAlign w:val="superscript"/>
        </w:rPr>
        <w:t>2</w:t>
      </w:r>
      <w:r>
        <w:rPr>
          <w:rFonts w:ascii="Times New Roman" w:hAnsi="Times New Roman"/>
          <w:szCs w:val="24"/>
        </w:rPr>
        <w:t>; o</w:t>
      </w:r>
      <w:r>
        <w:rPr>
          <w:rFonts w:ascii="Times New Roman" w:hAnsi="Times New Roman"/>
        </w:rPr>
        <w:t xml:space="preserve"> grande queimado representou a maioria dos avaliados, com 44 (73%) indivíduos</w:t>
      </w:r>
      <w:r w:rsidR="004F122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e 16 (27%) médio</w:t>
      </w:r>
      <w:r w:rsidR="00682EBA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queimados.  O</w:t>
      </w:r>
      <w:r>
        <w:rPr>
          <w:rFonts w:ascii="Times New Roman" w:hAnsi="Times New Roman"/>
          <w:szCs w:val="24"/>
        </w:rPr>
        <w:t xml:space="preserve"> tempo de internação variou de dois a 134 dias com mediana de 24 dias (14 – 39). O</w:t>
      </w:r>
      <w:r>
        <w:rPr>
          <w:rFonts w:ascii="Times New Roman" w:hAnsi="Times New Roman"/>
        </w:rPr>
        <w:t xml:space="preserve"> fogo foi o principal agente etiológico</w:t>
      </w:r>
      <w:r w:rsidR="004F122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independente</w:t>
      </w:r>
      <w:r w:rsidR="004F1228">
        <w:rPr>
          <w:rFonts w:ascii="Times New Roman" w:hAnsi="Times New Roman"/>
        </w:rPr>
        <w:t>mente</w:t>
      </w:r>
      <w:r>
        <w:rPr>
          <w:rFonts w:ascii="Times New Roman" w:hAnsi="Times New Roman"/>
        </w:rPr>
        <w:t xml:space="preserve"> da gravidade das vítimas; o evento que motivou a queimadura na grande maioria foi o acidente doméstico seguido dos acidentes de trabalho (Tabela 1).</w:t>
      </w:r>
    </w:p>
    <w:p w:rsidR="001250D4" w:rsidRDefault="001250D4" w:rsidP="001250D4">
      <w:pPr>
        <w:pStyle w:val="Pargrafo"/>
        <w:tabs>
          <w:tab w:val="left" w:pos="709"/>
        </w:tabs>
        <w:spacing w:line="360" w:lineRule="auto"/>
        <w:ind w:firstLine="0"/>
        <w:rPr>
          <w:rFonts w:ascii="Times New Roman" w:hAnsi="Times New Roman"/>
        </w:rPr>
      </w:pPr>
    </w:p>
    <w:p w:rsidR="001250D4" w:rsidRDefault="001250D4" w:rsidP="001250D4">
      <w:pPr>
        <w:pStyle w:val="Pargrafo"/>
        <w:tabs>
          <w:tab w:val="left" w:pos="709"/>
        </w:tabs>
        <w:spacing w:line="240" w:lineRule="auto"/>
        <w:ind w:firstLine="0"/>
        <w:rPr>
          <w:rFonts w:ascii="Times New Roman" w:hAnsi="Times New Roman"/>
          <w:szCs w:val="24"/>
        </w:rPr>
      </w:pPr>
    </w:p>
    <w:p w:rsidR="001250D4" w:rsidRDefault="001250D4" w:rsidP="001250D4">
      <w:pPr>
        <w:pStyle w:val="Pargrafo"/>
        <w:tabs>
          <w:tab w:val="left" w:pos="709"/>
        </w:tabs>
        <w:spacing w:line="240" w:lineRule="auto"/>
        <w:ind w:firstLine="0"/>
        <w:rPr>
          <w:rFonts w:ascii="Times New Roman" w:hAnsi="Times New Roman"/>
          <w:szCs w:val="24"/>
        </w:rPr>
      </w:pPr>
    </w:p>
    <w:p w:rsidR="001250D4" w:rsidRDefault="001250D4" w:rsidP="001250D4">
      <w:pPr>
        <w:pStyle w:val="Pargrafo"/>
        <w:tabs>
          <w:tab w:val="left" w:pos="709"/>
        </w:tabs>
        <w:spacing w:line="240" w:lineRule="auto"/>
        <w:ind w:firstLine="0"/>
        <w:rPr>
          <w:rFonts w:ascii="Times New Roman" w:hAnsi="Times New Roman"/>
          <w:szCs w:val="24"/>
        </w:rPr>
      </w:pPr>
    </w:p>
    <w:p w:rsidR="001250D4" w:rsidRDefault="001250D4" w:rsidP="001250D4">
      <w:pPr>
        <w:pStyle w:val="Pargrafo"/>
        <w:tabs>
          <w:tab w:val="left" w:pos="709"/>
        </w:tabs>
        <w:spacing w:line="240" w:lineRule="auto"/>
        <w:ind w:firstLine="0"/>
        <w:rPr>
          <w:rFonts w:ascii="Times New Roman" w:hAnsi="Times New Roman"/>
          <w:szCs w:val="24"/>
        </w:rPr>
      </w:pPr>
    </w:p>
    <w:p w:rsidR="001250D4" w:rsidRDefault="001250D4" w:rsidP="001250D4">
      <w:pPr>
        <w:pStyle w:val="Pargrafo"/>
        <w:tabs>
          <w:tab w:val="left" w:pos="709"/>
        </w:tabs>
        <w:spacing w:line="240" w:lineRule="auto"/>
        <w:ind w:firstLine="0"/>
        <w:rPr>
          <w:rFonts w:ascii="Times New Roman" w:hAnsi="Times New Roman"/>
          <w:szCs w:val="24"/>
        </w:rPr>
      </w:pPr>
    </w:p>
    <w:p w:rsidR="001250D4" w:rsidRDefault="001250D4" w:rsidP="001250D4">
      <w:pPr>
        <w:pStyle w:val="Pargrafo"/>
        <w:tabs>
          <w:tab w:val="left" w:pos="709"/>
        </w:tabs>
        <w:spacing w:line="240" w:lineRule="auto"/>
        <w:ind w:firstLine="0"/>
        <w:rPr>
          <w:rFonts w:ascii="Times New Roman" w:hAnsi="Times New Roman"/>
          <w:szCs w:val="24"/>
        </w:rPr>
      </w:pPr>
    </w:p>
    <w:p w:rsidR="001250D4" w:rsidRDefault="001250D4" w:rsidP="001250D4">
      <w:pPr>
        <w:pStyle w:val="Pargrafo"/>
        <w:tabs>
          <w:tab w:val="left" w:pos="709"/>
        </w:tabs>
        <w:spacing w:line="240" w:lineRule="auto"/>
        <w:ind w:firstLine="0"/>
        <w:rPr>
          <w:rFonts w:ascii="Times New Roman" w:hAnsi="Times New Roman"/>
          <w:szCs w:val="24"/>
        </w:rPr>
      </w:pPr>
    </w:p>
    <w:p w:rsidR="001250D4" w:rsidRDefault="001250D4" w:rsidP="001250D4">
      <w:pPr>
        <w:pStyle w:val="Pargrafo"/>
        <w:tabs>
          <w:tab w:val="left" w:pos="709"/>
        </w:tabs>
        <w:spacing w:line="240" w:lineRule="auto"/>
        <w:ind w:firstLine="0"/>
        <w:rPr>
          <w:rFonts w:ascii="Times New Roman" w:hAnsi="Times New Roman"/>
          <w:szCs w:val="24"/>
        </w:rPr>
      </w:pPr>
    </w:p>
    <w:p w:rsidR="001250D4" w:rsidRDefault="001250D4" w:rsidP="001250D4">
      <w:pPr>
        <w:pStyle w:val="Pargrafo"/>
        <w:tabs>
          <w:tab w:val="left" w:pos="709"/>
        </w:tabs>
        <w:spacing w:line="240" w:lineRule="auto"/>
        <w:ind w:firstLine="0"/>
        <w:rPr>
          <w:rFonts w:ascii="Times New Roman" w:hAnsi="Times New Roman"/>
          <w:szCs w:val="24"/>
        </w:rPr>
      </w:pPr>
    </w:p>
    <w:p w:rsidR="001250D4" w:rsidRDefault="001250D4" w:rsidP="001250D4">
      <w:pPr>
        <w:pStyle w:val="Pargrafo"/>
        <w:tabs>
          <w:tab w:val="left" w:pos="709"/>
        </w:tabs>
        <w:spacing w:line="240" w:lineRule="auto"/>
        <w:ind w:firstLine="0"/>
        <w:rPr>
          <w:rFonts w:ascii="Times New Roman" w:hAnsi="Times New Roman"/>
          <w:szCs w:val="24"/>
        </w:rPr>
      </w:pPr>
    </w:p>
    <w:p w:rsidR="001250D4" w:rsidRDefault="001250D4" w:rsidP="001250D4">
      <w:pPr>
        <w:pStyle w:val="Pargrafo"/>
        <w:tabs>
          <w:tab w:val="left" w:pos="709"/>
        </w:tabs>
        <w:spacing w:line="240" w:lineRule="auto"/>
        <w:ind w:firstLine="0"/>
        <w:rPr>
          <w:rFonts w:ascii="Times New Roman" w:hAnsi="Times New Roman"/>
          <w:szCs w:val="24"/>
        </w:rPr>
      </w:pPr>
    </w:p>
    <w:p w:rsidR="001250D4" w:rsidRDefault="001250D4" w:rsidP="001250D4">
      <w:pPr>
        <w:pStyle w:val="Pargrafo"/>
        <w:tabs>
          <w:tab w:val="left" w:pos="709"/>
        </w:tabs>
        <w:spacing w:line="240" w:lineRule="auto"/>
        <w:ind w:firstLine="0"/>
        <w:rPr>
          <w:rFonts w:ascii="Times New Roman" w:hAnsi="Times New Roman"/>
          <w:szCs w:val="24"/>
        </w:rPr>
      </w:pPr>
    </w:p>
    <w:p w:rsidR="001250D4" w:rsidRDefault="001250D4" w:rsidP="001250D4">
      <w:pPr>
        <w:pStyle w:val="Pargrafo"/>
        <w:tabs>
          <w:tab w:val="left" w:pos="709"/>
        </w:tabs>
        <w:spacing w:line="240" w:lineRule="auto"/>
        <w:ind w:firstLine="0"/>
        <w:rPr>
          <w:rFonts w:ascii="Times New Roman" w:hAnsi="Times New Roman"/>
          <w:szCs w:val="24"/>
        </w:rPr>
      </w:pPr>
    </w:p>
    <w:p w:rsidR="001250D4" w:rsidRDefault="001250D4" w:rsidP="001250D4">
      <w:pPr>
        <w:pStyle w:val="Pargrafo"/>
        <w:tabs>
          <w:tab w:val="left" w:pos="709"/>
        </w:tabs>
        <w:spacing w:line="240" w:lineRule="auto"/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Tabela 1 – Características da população estudada de acordo com a gravidade da lesão. Londrina/PR, 2014.</w:t>
      </w:r>
    </w:p>
    <w:p w:rsidR="001250D4" w:rsidRDefault="001250D4" w:rsidP="00125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rPr>
          <w:rFonts w:ascii="Arial" w:hAnsi="Arial" w:cs="Arial"/>
          <w:sz w:val="8"/>
          <w:szCs w:val="16"/>
        </w:rPr>
      </w:pPr>
    </w:p>
    <w:p w:rsidR="001250D4" w:rsidRDefault="001250D4" w:rsidP="00125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rPr>
          <w:rFonts w:ascii="Arial" w:hAnsi="Arial" w:cs="Arial"/>
          <w:sz w:val="8"/>
          <w:szCs w:val="16"/>
        </w:rPr>
      </w:pPr>
    </w:p>
    <w:tbl>
      <w:tblPr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668"/>
        <w:gridCol w:w="1134"/>
        <w:gridCol w:w="1134"/>
        <w:gridCol w:w="999"/>
      </w:tblGrid>
      <w:tr w:rsidR="001250D4" w:rsidTr="001250D4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nil"/>
              <w:bottom w:val="single" w:sz="12" w:space="0" w:color="FFFFFF"/>
              <w:right w:val="nil"/>
            </w:tcBorders>
          </w:tcPr>
          <w:p w:rsidR="001250D4" w:rsidRDefault="001250D4">
            <w:pPr>
              <w:ind w:right="317"/>
              <w:rPr>
                <w:rFonts w:ascii="Arial" w:eastAsia="Calibri" w:hAnsi="Arial" w:cs="Arial"/>
                <w:b/>
                <w:bCs/>
                <w:sz w:val="8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FFFFFF"/>
              <w:right w:val="nil"/>
            </w:tcBorders>
          </w:tcPr>
          <w:p w:rsidR="001250D4" w:rsidRDefault="001250D4">
            <w:pPr>
              <w:rPr>
                <w:rFonts w:ascii="Arial" w:eastAsia="Calibri" w:hAnsi="Arial" w:cs="Arial"/>
                <w:b/>
                <w:bCs/>
                <w:sz w:val="8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FFFFFF"/>
              <w:right w:val="nil"/>
            </w:tcBorders>
          </w:tcPr>
          <w:p w:rsidR="001250D4" w:rsidRDefault="001250D4">
            <w:pPr>
              <w:ind w:left="-250"/>
              <w:jc w:val="right"/>
              <w:rPr>
                <w:rFonts w:ascii="Arial" w:eastAsia="Calibri" w:hAnsi="Arial" w:cs="Arial"/>
                <w:b/>
                <w:bCs/>
                <w:sz w:val="8"/>
                <w:szCs w:val="16"/>
                <w:lang w:eastAsia="en-US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50D4" w:rsidRDefault="001250D4">
            <w:pPr>
              <w:tabs>
                <w:tab w:val="left" w:pos="860"/>
                <w:tab w:val="right" w:pos="3611"/>
              </w:tabs>
              <w:jc w:val="center"/>
              <w:rPr>
                <w:rFonts w:ascii="Arial" w:eastAsia="Calibri" w:hAnsi="Arial" w:cs="Arial"/>
                <w:b/>
                <w:bCs/>
                <w:sz w:val="10"/>
                <w:szCs w:val="16"/>
                <w:lang w:eastAsia="en-US"/>
              </w:rPr>
            </w:pPr>
          </w:p>
          <w:p w:rsidR="001250D4" w:rsidRDefault="001250D4">
            <w:pPr>
              <w:tabs>
                <w:tab w:val="left" w:pos="860"/>
                <w:tab w:val="right" w:pos="3611"/>
              </w:tabs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 xml:space="preserve">Grande </w:t>
            </w:r>
          </w:p>
          <w:p w:rsidR="001250D4" w:rsidRDefault="001250D4">
            <w:pPr>
              <w:tabs>
                <w:tab w:val="left" w:pos="860"/>
                <w:tab w:val="right" w:pos="3611"/>
              </w:tabs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Queimado</w:t>
            </w:r>
          </w:p>
          <w:p w:rsidR="001250D4" w:rsidRDefault="001250D4">
            <w:pPr>
              <w:tabs>
                <w:tab w:val="left" w:pos="860"/>
                <w:tab w:val="right" w:pos="3611"/>
              </w:tabs>
              <w:jc w:val="center"/>
              <w:rPr>
                <w:rFonts w:ascii="Arial" w:eastAsia="Calibri" w:hAnsi="Arial" w:cs="Arial"/>
                <w:b/>
                <w:bCs/>
                <w:sz w:val="8"/>
                <w:szCs w:val="16"/>
                <w:lang w:eastAsia="en-US"/>
              </w:rPr>
            </w:pPr>
          </w:p>
        </w:tc>
      </w:tr>
      <w:tr w:rsidR="001250D4" w:rsidTr="001250D4">
        <w:trPr>
          <w:trHeight w:val="68"/>
        </w:trPr>
        <w:tc>
          <w:tcPr>
            <w:tcW w:w="166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50D4" w:rsidRDefault="001250D4">
            <w:pPr>
              <w:rPr>
                <w:rFonts w:ascii="Arial" w:eastAsia="Calibri" w:hAnsi="Arial" w:cs="Arial"/>
                <w:b/>
                <w:bCs/>
                <w:sz w:val="4"/>
                <w:szCs w:val="16"/>
                <w:lang w:eastAsia="en-US"/>
              </w:rPr>
            </w:pPr>
          </w:p>
          <w:p w:rsidR="001250D4" w:rsidRDefault="001250D4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Variável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50D4" w:rsidRDefault="001250D4">
            <w:pPr>
              <w:tabs>
                <w:tab w:val="left" w:pos="860"/>
                <w:tab w:val="right" w:pos="3611"/>
              </w:tabs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Total</w:t>
            </w:r>
          </w:p>
          <w:p w:rsidR="001250D4" w:rsidRDefault="001250D4">
            <w:pPr>
              <w:tabs>
                <w:tab w:val="left" w:pos="860"/>
                <w:tab w:val="right" w:pos="3611"/>
              </w:tabs>
              <w:jc w:val="center"/>
              <w:rPr>
                <w:rFonts w:ascii="Arial" w:eastAsia="Calibri" w:hAnsi="Arial" w:cs="Arial"/>
                <w:b/>
                <w:bCs/>
                <w:sz w:val="8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50D4" w:rsidRDefault="001250D4">
            <w:pPr>
              <w:tabs>
                <w:tab w:val="left" w:pos="860"/>
                <w:tab w:val="right" w:pos="3611"/>
              </w:tabs>
              <w:ind w:left="-250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Médio Queimado</w:t>
            </w:r>
          </w:p>
          <w:p w:rsidR="001250D4" w:rsidRDefault="001250D4">
            <w:pPr>
              <w:tabs>
                <w:tab w:val="left" w:pos="860"/>
                <w:tab w:val="right" w:pos="3611"/>
              </w:tabs>
              <w:ind w:left="-250"/>
              <w:jc w:val="center"/>
              <w:rPr>
                <w:rFonts w:ascii="Arial" w:eastAsia="Calibri" w:hAnsi="Arial" w:cs="Arial"/>
                <w:b/>
                <w:bCs/>
                <w:sz w:val="8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250D4" w:rsidRDefault="001250D4">
            <w:pPr>
              <w:rPr>
                <w:rFonts w:ascii="Arial" w:eastAsia="Calibri" w:hAnsi="Arial" w:cs="Arial"/>
                <w:b/>
                <w:bCs/>
                <w:sz w:val="8"/>
                <w:szCs w:val="16"/>
                <w:lang w:eastAsia="en-US"/>
              </w:rPr>
            </w:pPr>
          </w:p>
        </w:tc>
      </w:tr>
      <w:tr w:rsidR="001250D4" w:rsidTr="001250D4">
        <w:trPr>
          <w:trHeight w:val="6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250D4" w:rsidRDefault="001250D4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50D4" w:rsidRDefault="001250D4">
            <w:pPr>
              <w:tabs>
                <w:tab w:val="left" w:pos="860"/>
                <w:tab w:val="right" w:pos="3611"/>
              </w:tabs>
              <w:jc w:val="center"/>
              <w:rPr>
                <w:rFonts w:ascii="Arial" w:eastAsia="Calibri" w:hAnsi="Arial" w:cs="Arial"/>
                <w:b/>
                <w:bCs/>
                <w:sz w:val="8"/>
                <w:szCs w:val="16"/>
                <w:lang w:eastAsia="en-US"/>
              </w:rPr>
            </w:pPr>
          </w:p>
          <w:p w:rsidR="001250D4" w:rsidRDefault="001250D4">
            <w:pPr>
              <w:tabs>
                <w:tab w:val="left" w:pos="860"/>
                <w:tab w:val="right" w:pos="3611"/>
              </w:tabs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n= 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50D4" w:rsidRDefault="001250D4">
            <w:pPr>
              <w:tabs>
                <w:tab w:val="left" w:pos="860"/>
                <w:tab w:val="right" w:pos="3611"/>
              </w:tabs>
              <w:ind w:left="-250"/>
              <w:jc w:val="center"/>
              <w:rPr>
                <w:rFonts w:ascii="Arial" w:eastAsia="Calibri" w:hAnsi="Arial" w:cs="Arial"/>
                <w:b/>
                <w:bCs/>
                <w:sz w:val="8"/>
                <w:szCs w:val="16"/>
                <w:lang w:eastAsia="en-US"/>
              </w:rPr>
            </w:pPr>
          </w:p>
          <w:p w:rsidR="001250D4" w:rsidRDefault="001250D4">
            <w:pPr>
              <w:tabs>
                <w:tab w:val="left" w:pos="860"/>
                <w:tab w:val="right" w:pos="3611"/>
              </w:tabs>
              <w:ind w:left="-250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n= 16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50D4" w:rsidRDefault="001250D4">
            <w:pPr>
              <w:tabs>
                <w:tab w:val="left" w:pos="860"/>
                <w:tab w:val="right" w:pos="3611"/>
              </w:tabs>
              <w:jc w:val="center"/>
              <w:rPr>
                <w:rFonts w:ascii="Arial" w:eastAsia="Calibri" w:hAnsi="Arial" w:cs="Arial"/>
                <w:b/>
                <w:bCs/>
                <w:sz w:val="8"/>
                <w:szCs w:val="16"/>
                <w:lang w:eastAsia="en-US"/>
              </w:rPr>
            </w:pPr>
          </w:p>
          <w:p w:rsidR="001250D4" w:rsidRDefault="001250D4">
            <w:pPr>
              <w:tabs>
                <w:tab w:val="left" w:pos="860"/>
                <w:tab w:val="right" w:pos="3611"/>
              </w:tabs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n= 44</w:t>
            </w:r>
          </w:p>
        </w:tc>
      </w:tr>
      <w:tr w:rsidR="001250D4" w:rsidTr="001250D4">
        <w:trPr>
          <w:trHeight w:val="727"/>
        </w:trPr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Sexo</w:t>
            </w:r>
          </w:p>
          <w:p w:rsidR="001250D4" w:rsidRDefault="001250D4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Feminino</w:t>
            </w:r>
          </w:p>
          <w:p w:rsidR="001250D4" w:rsidRDefault="001250D4">
            <w:pPr>
              <w:rPr>
                <w:rFonts w:ascii="Arial" w:eastAsia="Calibri" w:hAnsi="Arial" w:cs="Arial"/>
                <w:b/>
                <w:bCs/>
                <w:sz w:val="8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Masculino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50D4" w:rsidRDefault="001250D4">
            <w:pPr>
              <w:jc w:val="right"/>
              <w:rPr>
                <w:rFonts w:ascii="Arial" w:eastAsia="Calibri" w:hAnsi="Arial" w:cs="Arial"/>
                <w:sz w:val="8"/>
                <w:szCs w:val="16"/>
                <w:lang w:eastAsia="en-US"/>
              </w:rPr>
            </w:pPr>
          </w:p>
          <w:p w:rsidR="001250D4" w:rsidRDefault="001250D4">
            <w:pPr>
              <w:jc w:val="right"/>
              <w:rPr>
                <w:rFonts w:ascii="Arial" w:eastAsia="Calibri" w:hAnsi="Arial" w:cs="Arial"/>
                <w:sz w:val="8"/>
                <w:szCs w:val="16"/>
                <w:lang w:eastAsia="en-US"/>
              </w:rPr>
            </w:pP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24 (40%)</w:t>
            </w: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36 (60%)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50D4" w:rsidRDefault="001250D4">
            <w:pPr>
              <w:ind w:left="-250"/>
              <w:jc w:val="right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1250D4" w:rsidRDefault="001250D4">
            <w:pPr>
              <w:ind w:left="-25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06 (37,5%)</w:t>
            </w:r>
          </w:p>
          <w:p w:rsidR="001250D4" w:rsidRDefault="001250D4">
            <w:pPr>
              <w:ind w:left="-25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10 (62,5%)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50D4" w:rsidRDefault="001250D4">
            <w:pPr>
              <w:jc w:val="right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18 (41%)</w:t>
            </w: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26 (59%)</w:t>
            </w:r>
          </w:p>
        </w:tc>
      </w:tr>
      <w:tr w:rsidR="001250D4" w:rsidTr="001250D4">
        <w:trPr>
          <w:trHeight w:val="1136"/>
        </w:trPr>
        <w:tc>
          <w:tcPr>
            <w:tcW w:w="1668" w:type="dxa"/>
            <w:hideMark/>
          </w:tcPr>
          <w:p w:rsidR="001250D4" w:rsidRDefault="001250D4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Faixa Etária</w:t>
            </w:r>
          </w:p>
          <w:p w:rsidR="001250D4" w:rsidRDefault="001250D4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 xml:space="preserve">20 – 30 anos </w:t>
            </w:r>
          </w:p>
          <w:p w:rsidR="001250D4" w:rsidRDefault="001250D4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 xml:space="preserve">31 – 40 anos </w:t>
            </w:r>
          </w:p>
          <w:p w:rsidR="001250D4" w:rsidRDefault="001250D4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41 – 50</w:t>
            </w:r>
          </w:p>
          <w:p w:rsidR="001250D4" w:rsidRDefault="001250D4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Acima de 51</w:t>
            </w:r>
          </w:p>
        </w:tc>
        <w:tc>
          <w:tcPr>
            <w:tcW w:w="1134" w:type="dxa"/>
          </w:tcPr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17 (28%)</w:t>
            </w: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12 (20%)</w:t>
            </w: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21 (35%)</w:t>
            </w: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10 (17%)</w:t>
            </w:r>
          </w:p>
        </w:tc>
        <w:tc>
          <w:tcPr>
            <w:tcW w:w="1134" w:type="dxa"/>
          </w:tcPr>
          <w:p w:rsidR="001250D4" w:rsidRDefault="001250D4">
            <w:pPr>
              <w:ind w:left="-25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1250D4" w:rsidRDefault="001250D4">
            <w:pPr>
              <w:ind w:left="-25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05 (31,25%)</w:t>
            </w:r>
          </w:p>
          <w:p w:rsidR="001250D4" w:rsidRDefault="001250D4">
            <w:pPr>
              <w:ind w:left="-25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04 (25%)</w:t>
            </w:r>
          </w:p>
          <w:p w:rsidR="001250D4" w:rsidRDefault="001250D4">
            <w:pPr>
              <w:ind w:left="-25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05 (31,25%)</w:t>
            </w:r>
          </w:p>
          <w:p w:rsidR="001250D4" w:rsidRDefault="001250D4">
            <w:pPr>
              <w:ind w:left="-250"/>
              <w:jc w:val="center"/>
              <w:rPr>
                <w:rFonts w:ascii="Arial" w:eastAsia="Calibri" w:hAnsi="Arial" w:cs="Arial"/>
                <w:noProof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02 (12,5%)</w:t>
            </w:r>
          </w:p>
        </w:tc>
        <w:tc>
          <w:tcPr>
            <w:tcW w:w="999" w:type="dxa"/>
          </w:tcPr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12 (28%)</w:t>
            </w: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08 (18%)</w:t>
            </w: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16 (36%)</w:t>
            </w:r>
          </w:p>
          <w:p w:rsidR="001250D4" w:rsidRDefault="001250D4">
            <w:pPr>
              <w:jc w:val="center"/>
              <w:rPr>
                <w:rFonts w:ascii="Arial" w:eastAsia="Calibri" w:hAnsi="Arial" w:cs="Arial"/>
                <w:noProof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08 (18%)</w:t>
            </w:r>
          </w:p>
        </w:tc>
      </w:tr>
      <w:tr w:rsidR="001250D4" w:rsidTr="001250D4">
        <w:trPr>
          <w:trHeight w:val="1360"/>
        </w:trPr>
        <w:tc>
          <w:tcPr>
            <w:tcW w:w="1668" w:type="dxa"/>
            <w:hideMark/>
          </w:tcPr>
          <w:p w:rsidR="001250D4" w:rsidRDefault="001250D4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 xml:space="preserve">IMC </w:t>
            </w:r>
          </w:p>
          <w:p w:rsidR="001250D4" w:rsidRDefault="001250D4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Baixo peso</w:t>
            </w:r>
          </w:p>
          <w:p w:rsidR="001250D4" w:rsidRDefault="001250D4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Peso normal</w:t>
            </w:r>
          </w:p>
          <w:p w:rsidR="001250D4" w:rsidRDefault="001250D4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Sobrepeso</w:t>
            </w:r>
          </w:p>
          <w:p w:rsidR="001250D4" w:rsidRDefault="001250D4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Obesidade grau I</w:t>
            </w:r>
          </w:p>
          <w:p w:rsidR="001250D4" w:rsidRDefault="001250D4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Obesidade grau II</w:t>
            </w:r>
          </w:p>
        </w:tc>
        <w:tc>
          <w:tcPr>
            <w:tcW w:w="1134" w:type="dxa"/>
          </w:tcPr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02 (3,0%)</w:t>
            </w: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24 (40%)</w:t>
            </w: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19 (32%)</w:t>
            </w: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10 (17%)</w:t>
            </w: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05 (8,0%)</w:t>
            </w:r>
          </w:p>
        </w:tc>
        <w:tc>
          <w:tcPr>
            <w:tcW w:w="1134" w:type="dxa"/>
          </w:tcPr>
          <w:p w:rsidR="001250D4" w:rsidRDefault="001250D4">
            <w:pPr>
              <w:ind w:left="-250"/>
              <w:rPr>
                <w:rFonts w:ascii="Arial" w:eastAsia="Calibri" w:hAnsi="Arial" w:cs="Arial"/>
                <w:sz w:val="8"/>
                <w:szCs w:val="16"/>
                <w:lang w:eastAsia="en-US"/>
              </w:rPr>
            </w:pPr>
          </w:p>
          <w:p w:rsidR="001250D4" w:rsidRDefault="001250D4">
            <w:pPr>
              <w:ind w:left="-250"/>
              <w:jc w:val="center"/>
              <w:rPr>
                <w:rFonts w:ascii="Arial" w:eastAsia="Calibri" w:hAnsi="Arial" w:cs="Arial"/>
                <w:sz w:val="8"/>
                <w:szCs w:val="16"/>
                <w:lang w:eastAsia="en-US"/>
              </w:rPr>
            </w:pPr>
          </w:p>
          <w:p w:rsidR="001250D4" w:rsidRDefault="001250D4">
            <w:pPr>
              <w:ind w:left="-25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02 (12,5%)</w:t>
            </w:r>
          </w:p>
          <w:p w:rsidR="001250D4" w:rsidRDefault="001250D4">
            <w:pPr>
              <w:ind w:left="-25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05 (31,25%)</w:t>
            </w:r>
          </w:p>
          <w:p w:rsidR="001250D4" w:rsidRDefault="001250D4">
            <w:pPr>
              <w:ind w:left="-25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05 (31,25%)</w:t>
            </w:r>
          </w:p>
          <w:p w:rsidR="001250D4" w:rsidRDefault="001250D4">
            <w:pPr>
              <w:ind w:left="-25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-</w:t>
            </w:r>
          </w:p>
          <w:p w:rsidR="001250D4" w:rsidRDefault="001250D4">
            <w:pPr>
              <w:ind w:left="-25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04 (25%)</w:t>
            </w:r>
          </w:p>
        </w:tc>
        <w:tc>
          <w:tcPr>
            <w:tcW w:w="999" w:type="dxa"/>
          </w:tcPr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-</w:t>
            </w: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19 (43%)</w:t>
            </w: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14 (32%)</w:t>
            </w: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10 (23%)</w:t>
            </w: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01 (2%)</w:t>
            </w:r>
          </w:p>
        </w:tc>
      </w:tr>
      <w:tr w:rsidR="001250D4" w:rsidTr="001250D4">
        <w:trPr>
          <w:trHeight w:val="864"/>
        </w:trPr>
        <w:tc>
          <w:tcPr>
            <w:tcW w:w="1668" w:type="dxa"/>
            <w:hideMark/>
          </w:tcPr>
          <w:p w:rsidR="001250D4" w:rsidRDefault="001250D4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SCQ (%)</w:t>
            </w:r>
          </w:p>
          <w:p w:rsidR="001250D4" w:rsidRDefault="001250D4">
            <w:pPr>
              <w:rPr>
                <w:rFonts w:ascii="Arial" w:eastAsia="Calibri" w:hAnsi="Arial" w:cs="Arial"/>
                <w:bCs/>
                <w:sz w:val="16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6"/>
                <w:szCs w:val="20"/>
                <w:lang w:eastAsia="en-US"/>
              </w:rPr>
              <w:t>Até 10%</w:t>
            </w:r>
          </w:p>
          <w:p w:rsidR="001250D4" w:rsidRDefault="001250D4">
            <w:pPr>
              <w:rPr>
                <w:rFonts w:ascii="Arial" w:eastAsia="Calibri" w:hAnsi="Arial" w:cs="Arial"/>
                <w:bCs/>
                <w:sz w:val="16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6"/>
                <w:szCs w:val="20"/>
                <w:lang w:eastAsia="en-US"/>
              </w:rPr>
              <w:t>11 a 20%</w:t>
            </w:r>
          </w:p>
          <w:p w:rsidR="001250D4" w:rsidRDefault="001250D4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6"/>
                <w:szCs w:val="20"/>
                <w:lang w:eastAsia="en-US"/>
              </w:rPr>
              <w:t>Acima de 21%</w:t>
            </w:r>
          </w:p>
        </w:tc>
        <w:tc>
          <w:tcPr>
            <w:tcW w:w="1134" w:type="dxa"/>
          </w:tcPr>
          <w:p w:rsidR="001250D4" w:rsidRDefault="001250D4">
            <w:pPr>
              <w:jc w:val="center"/>
              <w:rPr>
                <w:rFonts w:ascii="Arial" w:eastAsia="Calibri" w:hAnsi="Arial" w:cs="Arial"/>
                <w:sz w:val="4"/>
                <w:szCs w:val="20"/>
                <w:lang w:eastAsia="en-US"/>
              </w:rPr>
            </w:pP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4"/>
                <w:szCs w:val="20"/>
                <w:lang w:eastAsia="en-US"/>
              </w:rPr>
            </w:pP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4"/>
                <w:szCs w:val="20"/>
                <w:lang w:eastAsia="en-US"/>
              </w:rPr>
            </w:pP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4"/>
                <w:szCs w:val="20"/>
                <w:lang w:eastAsia="en-US"/>
              </w:rPr>
            </w:pP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20"/>
                <w:lang w:eastAsia="en-US"/>
              </w:rPr>
              <w:t>23 (39%)                           20 (33%)</w:t>
            </w: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20"/>
                <w:lang w:eastAsia="en-US"/>
              </w:rPr>
              <w:t>17 (28%)</w:t>
            </w:r>
          </w:p>
        </w:tc>
        <w:tc>
          <w:tcPr>
            <w:tcW w:w="1134" w:type="dxa"/>
          </w:tcPr>
          <w:p w:rsidR="001250D4" w:rsidRDefault="001250D4">
            <w:pPr>
              <w:ind w:left="-250"/>
              <w:jc w:val="center"/>
              <w:rPr>
                <w:rFonts w:ascii="Arial" w:eastAsia="Calibri" w:hAnsi="Arial" w:cs="Arial"/>
                <w:sz w:val="4"/>
                <w:szCs w:val="16"/>
                <w:lang w:eastAsia="en-US"/>
              </w:rPr>
            </w:pPr>
          </w:p>
          <w:p w:rsidR="001250D4" w:rsidRDefault="001250D4">
            <w:pPr>
              <w:ind w:left="-250"/>
              <w:jc w:val="center"/>
              <w:rPr>
                <w:rFonts w:ascii="Arial" w:eastAsia="Calibri" w:hAnsi="Arial" w:cs="Arial"/>
                <w:sz w:val="4"/>
                <w:szCs w:val="16"/>
                <w:lang w:eastAsia="en-US"/>
              </w:rPr>
            </w:pPr>
          </w:p>
          <w:p w:rsidR="001250D4" w:rsidRDefault="001250D4">
            <w:pPr>
              <w:ind w:left="-250"/>
              <w:jc w:val="center"/>
              <w:rPr>
                <w:rFonts w:ascii="Arial" w:eastAsia="Calibri" w:hAnsi="Arial" w:cs="Arial"/>
                <w:sz w:val="4"/>
                <w:szCs w:val="16"/>
                <w:lang w:eastAsia="en-US"/>
              </w:rPr>
            </w:pPr>
          </w:p>
          <w:p w:rsidR="001250D4" w:rsidRDefault="001250D4">
            <w:pPr>
              <w:ind w:left="-250"/>
              <w:jc w:val="center"/>
              <w:rPr>
                <w:rFonts w:ascii="Arial" w:eastAsia="Calibri" w:hAnsi="Arial" w:cs="Arial"/>
                <w:sz w:val="4"/>
                <w:szCs w:val="16"/>
                <w:lang w:eastAsia="en-US"/>
              </w:rPr>
            </w:pPr>
          </w:p>
          <w:p w:rsidR="001250D4" w:rsidRDefault="001250D4">
            <w:pPr>
              <w:ind w:left="-250"/>
              <w:jc w:val="center"/>
              <w:rPr>
                <w:rFonts w:ascii="Arial" w:eastAsia="Calibri" w:hAnsi="Arial" w:cs="Arial"/>
                <w:sz w:val="16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20"/>
                <w:lang w:eastAsia="en-US"/>
              </w:rPr>
              <w:t>12 (75%)                             04 (25%)</w:t>
            </w:r>
          </w:p>
          <w:p w:rsidR="001250D4" w:rsidRDefault="001250D4">
            <w:pPr>
              <w:ind w:left="-25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9" w:type="dxa"/>
          </w:tcPr>
          <w:p w:rsidR="001250D4" w:rsidRDefault="001250D4">
            <w:pPr>
              <w:jc w:val="center"/>
              <w:rPr>
                <w:rFonts w:ascii="Arial" w:eastAsia="Calibri" w:hAnsi="Arial" w:cs="Arial"/>
                <w:sz w:val="4"/>
                <w:szCs w:val="16"/>
                <w:lang w:eastAsia="en-US"/>
              </w:rPr>
            </w:pP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4"/>
                <w:szCs w:val="16"/>
                <w:lang w:eastAsia="en-US"/>
              </w:rPr>
            </w:pP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4"/>
                <w:szCs w:val="16"/>
                <w:lang w:eastAsia="en-US"/>
              </w:rPr>
            </w:pP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4"/>
                <w:szCs w:val="16"/>
                <w:lang w:eastAsia="en-US"/>
              </w:rPr>
            </w:pP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20"/>
                <w:lang w:eastAsia="en-US"/>
              </w:rPr>
              <w:t>11 (25%)                            16 (36%)</w:t>
            </w: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20"/>
                <w:lang w:eastAsia="en-US"/>
              </w:rPr>
              <w:t>17 (39%)</w:t>
            </w:r>
          </w:p>
        </w:tc>
      </w:tr>
      <w:tr w:rsidR="001250D4" w:rsidTr="001250D4">
        <w:trPr>
          <w:trHeight w:val="1262"/>
        </w:trPr>
        <w:tc>
          <w:tcPr>
            <w:tcW w:w="1668" w:type="dxa"/>
            <w:hideMark/>
          </w:tcPr>
          <w:p w:rsidR="001250D4" w:rsidRDefault="001250D4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Etiologia</w:t>
            </w:r>
          </w:p>
          <w:p w:rsidR="001250D4" w:rsidRDefault="001250D4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Fogo/chama</w:t>
            </w:r>
          </w:p>
          <w:p w:rsidR="001250D4" w:rsidRDefault="001250D4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Escaldo</w:t>
            </w:r>
          </w:p>
          <w:p w:rsidR="001250D4" w:rsidRDefault="001250D4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Elétrica</w:t>
            </w:r>
          </w:p>
          <w:p w:rsidR="001250D4" w:rsidRDefault="001250D4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Explosão</w:t>
            </w:r>
          </w:p>
          <w:p w:rsidR="001250D4" w:rsidRDefault="001250D4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Outros</w:t>
            </w:r>
          </w:p>
        </w:tc>
        <w:tc>
          <w:tcPr>
            <w:tcW w:w="1134" w:type="dxa"/>
          </w:tcPr>
          <w:p w:rsidR="001250D4" w:rsidRDefault="001250D4">
            <w:pPr>
              <w:jc w:val="center"/>
              <w:rPr>
                <w:rFonts w:ascii="Arial" w:eastAsia="Calibri" w:hAnsi="Arial" w:cs="Arial"/>
                <w:sz w:val="4"/>
                <w:szCs w:val="16"/>
                <w:lang w:eastAsia="en-US"/>
              </w:rPr>
            </w:pP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4"/>
                <w:szCs w:val="16"/>
                <w:lang w:eastAsia="en-US"/>
              </w:rPr>
            </w:pP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8"/>
                <w:szCs w:val="16"/>
                <w:lang w:eastAsia="en-US"/>
              </w:rPr>
            </w:pP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29 (48%)</w:t>
            </w: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10 (17,5%)</w:t>
            </w: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07 (11,5%)</w:t>
            </w: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07 (11,5%)</w:t>
            </w: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07 (11,5%)</w:t>
            </w:r>
          </w:p>
        </w:tc>
        <w:tc>
          <w:tcPr>
            <w:tcW w:w="1134" w:type="dxa"/>
          </w:tcPr>
          <w:p w:rsidR="001250D4" w:rsidRDefault="001250D4">
            <w:pPr>
              <w:ind w:left="-250"/>
              <w:jc w:val="center"/>
              <w:rPr>
                <w:rFonts w:ascii="Arial" w:eastAsia="Calibri" w:hAnsi="Arial" w:cs="Arial"/>
                <w:sz w:val="4"/>
                <w:szCs w:val="16"/>
                <w:lang w:eastAsia="en-US"/>
              </w:rPr>
            </w:pPr>
          </w:p>
          <w:p w:rsidR="001250D4" w:rsidRDefault="001250D4">
            <w:pPr>
              <w:ind w:left="-250"/>
              <w:jc w:val="center"/>
              <w:rPr>
                <w:rFonts w:ascii="Arial" w:eastAsia="Calibri" w:hAnsi="Arial" w:cs="Arial"/>
                <w:sz w:val="4"/>
                <w:szCs w:val="16"/>
                <w:lang w:eastAsia="en-US"/>
              </w:rPr>
            </w:pPr>
          </w:p>
          <w:p w:rsidR="001250D4" w:rsidRDefault="001250D4">
            <w:pPr>
              <w:ind w:left="-250"/>
              <w:jc w:val="center"/>
              <w:rPr>
                <w:rFonts w:ascii="Arial" w:eastAsia="Calibri" w:hAnsi="Arial" w:cs="Arial"/>
                <w:sz w:val="4"/>
                <w:szCs w:val="16"/>
                <w:lang w:eastAsia="en-US"/>
              </w:rPr>
            </w:pPr>
          </w:p>
          <w:p w:rsidR="001250D4" w:rsidRDefault="001250D4">
            <w:pPr>
              <w:ind w:left="-250"/>
              <w:jc w:val="center"/>
              <w:rPr>
                <w:rFonts w:ascii="Arial" w:eastAsia="Calibri" w:hAnsi="Arial" w:cs="Arial"/>
                <w:sz w:val="4"/>
                <w:szCs w:val="16"/>
                <w:lang w:eastAsia="en-US"/>
              </w:rPr>
            </w:pPr>
          </w:p>
          <w:p w:rsidR="001250D4" w:rsidRDefault="001250D4">
            <w:pPr>
              <w:ind w:left="-25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07 (44%)</w:t>
            </w:r>
          </w:p>
          <w:p w:rsidR="001250D4" w:rsidRDefault="001250D4">
            <w:pPr>
              <w:ind w:left="-25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05 (31%)</w:t>
            </w:r>
          </w:p>
          <w:p w:rsidR="001250D4" w:rsidRDefault="001250D4">
            <w:pPr>
              <w:ind w:left="-25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-</w:t>
            </w:r>
          </w:p>
          <w:p w:rsidR="001250D4" w:rsidRDefault="001250D4">
            <w:pPr>
              <w:ind w:left="-25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01 (6,0%)</w:t>
            </w:r>
          </w:p>
          <w:p w:rsidR="001250D4" w:rsidRDefault="001250D4">
            <w:pPr>
              <w:ind w:left="-25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03 (19%)</w:t>
            </w:r>
          </w:p>
        </w:tc>
        <w:tc>
          <w:tcPr>
            <w:tcW w:w="999" w:type="dxa"/>
          </w:tcPr>
          <w:p w:rsidR="001250D4" w:rsidRDefault="001250D4">
            <w:pPr>
              <w:tabs>
                <w:tab w:val="left" w:pos="1416"/>
              </w:tabs>
              <w:jc w:val="center"/>
              <w:rPr>
                <w:rFonts w:ascii="Arial" w:eastAsia="Calibri" w:hAnsi="Arial" w:cs="Arial"/>
                <w:sz w:val="8"/>
                <w:szCs w:val="16"/>
                <w:lang w:eastAsia="en-US"/>
              </w:rPr>
            </w:pPr>
          </w:p>
          <w:p w:rsidR="001250D4" w:rsidRDefault="001250D4">
            <w:pPr>
              <w:tabs>
                <w:tab w:val="left" w:pos="1416"/>
              </w:tabs>
              <w:jc w:val="center"/>
              <w:rPr>
                <w:rFonts w:ascii="Arial" w:eastAsia="Calibri" w:hAnsi="Arial" w:cs="Arial"/>
                <w:sz w:val="8"/>
                <w:szCs w:val="16"/>
                <w:lang w:eastAsia="en-US"/>
              </w:rPr>
            </w:pPr>
          </w:p>
          <w:p w:rsidR="001250D4" w:rsidRDefault="001250D4">
            <w:pPr>
              <w:tabs>
                <w:tab w:val="left" w:pos="1416"/>
              </w:tabs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22 (50%)</w:t>
            </w: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05 (11%)</w:t>
            </w: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07 (16%)</w:t>
            </w: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06 (14%)</w:t>
            </w: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04 (9,0%)</w:t>
            </w:r>
          </w:p>
        </w:tc>
      </w:tr>
      <w:tr w:rsidR="001250D4" w:rsidTr="001250D4">
        <w:trPr>
          <w:trHeight w:val="623"/>
        </w:trPr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250D4" w:rsidRDefault="001250D4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 xml:space="preserve">Motivo </w:t>
            </w:r>
          </w:p>
          <w:p w:rsidR="001250D4" w:rsidRDefault="001250D4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Acidente doméstico</w:t>
            </w:r>
          </w:p>
          <w:p w:rsidR="001250D4" w:rsidRDefault="001250D4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 xml:space="preserve">Trabalho </w:t>
            </w:r>
          </w:p>
          <w:p w:rsidR="001250D4" w:rsidRDefault="001250D4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Homicídio</w:t>
            </w:r>
          </w:p>
          <w:p w:rsidR="001250D4" w:rsidRDefault="001250D4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Autoextermínio</w:t>
            </w:r>
          </w:p>
          <w:p w:rsidR="001250D4" w:rsidRDefault="001250D4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Outros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50D4" w:rsidRDefault="001250D4">
            <w:pPr>
              <w:jc w:val="center"/>
              <w:rPr>
                <w:rFonts w:ascii="Arial" w:eastAsia="Calibri" w:hAnsi="Arial" w:cs="Arial"/>
                <w:sz w:val="10"/>
                <w:szCs w:val="16"/>
                <w:lang w:eastAsia="en-US"/>
              </w:rPr>
            </w:pP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4"/>
                <w:szCs w:val="16"/>
                <w:lang w:eastAsia="en-US"/>
              </w:rPr>
            </w:pP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29 (48%)</w:t>
            </w: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20 (33,5%)</w:t>
            </w: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06 (10%)</w:t>
            </w: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03 (5,0%)</w:t>
            </w: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02 (3,5%)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50D4" w:rsidRDefault="001250D4">
            <w:pPr>
              <w:ind w:left="-250"/>
              <w:jc w:val="center"/>
              <w:rPr>
                <w:rFonts w:ascii="Arial" w:eastAsia="Calibri" w:hAnsi="Arial" w:cs="Arial"/>
                <w:sz w:val="10"/>
                <w:szCs w:val="16"/>
                <w:lang w:eastAsia="en-US"/>
              </w:rPr>
            </w:pPr>
          </w:p>
          <w:p w:rsidR="001250D4" w:rsidRDefault="001250D4">
            <w:pPr>
              <w:ind w:left="-250"/>
              <w:jc w:val="center"/>
              <w:rPr>
                <w:rFonts w:ascii="Arial" w:eastAsia="Calibri" w:hAnsi="Arial" w:cs="Arial"/>
                <w:sz w:val="4"/>
                <w:szCs w:val="16"/>
                <w:lang w:eastAsia="en-US"/>
              </w:rPr>
            </w:pPr>
          </w:p>
          <w:p w:rsidR="001250D4" w:rsidRDefault="001250D4">
            <w:pPr>
              <w:ind w:left="-25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11 (69%)</w:t>
            </w:r>
          </w:p>
          <w:p w:rsidR="001250D4" w:rsidRDefault="001250D4">
            <w:pPr>
              <w:ind w:left="-25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04 (25%)</w:t>
            </w:r>
          </w:p>
          <w:p w:rsidR="001250D4" w:rsidRDefault="001250D4">
            <w:pPr>
              <w:ind w:left="-25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-</w:t>
            </w:r>
          </w:p>
          <w:p w:rsidR="001250D4" w:rsidRDefault="001250D4">
            <w:pPr>
              <w:ind w:left="-25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-</w:t>
            </w:r>
          </w:p>
          <w:p w:rsidR="001250D4" w:rsidRDefault="001250D4">
            <w:pPr>
              <w:ind w:left="-25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01 (6,0%)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50D4" w:rsidRDefault="001250D4">
            <w:pPr>
              <w:jc w:val="center"/>
              <w:rPr>
                <w:rFonts w:ascii="Arial" w:eastAsia="Calibri" w:hAnsi="Arial" w:cs="Arial"/>
                <w:sz w:val="10"/>
                <w:szCs w:val="16"/>
                <w:lang w:eastAsia="en-US"/>
              </w:rPr>
            </w:pP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4"/>
                <w:szCs w:val="16"/>
                <w:lang w:eastAsia="en-US"/>
              </w:rPr>
            </w:pP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18 (41%)</w:t>
            </w: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16 (36%)</w:t>
            </w: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06 (14%)</w:t>
            </w: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03 (7,0%)</w:t>
            </w: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01 (2,0%)</w:t>
            </w:r>
          </w:p>
        </w:tc>
      </w:tr>
    </w:tbl>
    <w:p w:rsidR="001250D4" w:rsidRDefault="001250D4" w:rsidP="00125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rPr>
          <w:rFonts w:ascii="Arial" w:hAnsi="Arial" w:cs="Arial"/>
          <w:sz w:val="8"/>
          <w:szCs w:val="16"/>
        </w:rPr>
      </w:pPr>
    </w:p>
    <w:p w:rsidR="001250D4" w:rsidRDefault="001250D4" w:rsidP="001250D4">
      <w:pPr>
        <w:pStyle w:val="Pargrafo"/>
        <w:tabs>
          <w:tab w:val="left" w:pos="709"/>
        </w:tabs>
        <w:spacing w:line="360" w:lineRule="auto"/>
        <w:ind w:firstLine="0"/>
        <w:rPr>
          <w:rFonts w:ascii="Times New Roman" w:hAnsi="Times New Roman"/>
        </w:rPr>
      </w:pPr>
    </w:p>
    <w:p w:rsidR="001250D4" w:rsidRDefault="001250D4" w:rsidP="001250D4">
      <w:pPr>
        <w:pStyle w:val="Pargrafo"/>
        <w:tabs>
          <w:tab w:val="left" w:pos="709"/>
        </w:tabs>
        <w:spacing w:line="360" w:lineRule="auto"/>
        <w:ind w:firstLine="0"/>
        <w:rPr>
          <w:rFonts w:ascii="Times New Roman" w:hAnsi="Times New Roman"/>
        </w:rPr>
      </w:pPr>
    </w:p>
    <w:p w:rsidR="001250D4" w:rsidRDefault="001250D4" w:rsidP="001250D4">
      <w:pPr>
        <w:pStyle w:val="Pargrafo"/>
        <w:tabs>
          <w:tab w:val="left" w:pos="709"/>
        </w:tabs>
        <w:spacing w:line="360" w:lineRule="auto"/>
        <w:ind w:firstLine="0"/>
        <w:rPr>
          <w:rFonts w:ascii="Times New Roman" w:hAnsi="Times New Roman"/>
        </w:rPr>
      </w:pPr>
    </w:p>
    <w:p w:rsidR="001250D4" w:rsidRDefault="001250D4" w:rsidP="001250D4">
      <w:pPr>
        <w:pStyle w:val="Pargrafo"/>
        <w:tabs>
          <w:tab w:val="left" w:pos="709"/>
        </w:tabs>
        <w:spacing w:line="360" w:lineRule="auto"/>
        <w:ind w:firstLine="0"/>
        <w:rPr>
          <w:rFonts w:ascii="Times New Roman" w:hAnsi="Times New Roman"/>
        </w:rPr>
      </w:pPr>
    </w:p>
    <w:p w:rsidR="001250D4" w:rsidRDefault="001250D4" w:rsidP="001250D4">
      <w:pPr>
        <w:pStyle w:val="Pargrafo"/>
        <w:tabs>
          <w:tab w:val="left" w:pos="709"/>
        </w:tabs>
        <w:spacing w:line="360" w:lineRule="auto"/>
        <w:ind w:firstLine="0"/>
        <w:rPr>
          <w:rFonts w:ascii="Times New Roman" w:hAnsi="Times New Roman"/>
        </w:rPr>
      </w:pPr>
    </w:p>
    <w:p w:rsidR="001250D4" w:rsidRDefault="001250D4" w:rsidP="001250D4">
      <w:pPr>
        <w:pStyle w:val="Pargrafo"/>
        <w:tabs>
          <w:tab w:val="left" w:pos="709"/>
        </w:tabs>
        <w:spacing w:line="360" w:lineRule="auto"/>
        <w:ind w:firstLine="0"/>
        <w:rPr>
          <w:rFonts w:ascii="Times New Roman" w:hAnsi="Times New Roman"/>
        </w:rPr>
      </w:pPr>
    </w:p>
    <w:p w:rsidR="001250D4" w:rsidRDefault="001250D4" w:rsidP="001250D4">
      <w:pPr>
        <w:pStyle w:val="Pargrafo"/>
        <w:tabs>
          <w:tab w:val="left" w:pos="709"/>
        </w:tabs>
        <w:spacing w:line="360" w:lineRule="auto"/>
        <w:ind w:firstLine="0"/>
        <w:rPr>
          <w:rFonts w:ascii="Times New Roman" w:hAnsi="Times New Roman"/>
        </w:rPr>
      </w:pPr>
    </w:p>
    <w:p w:rsidR="001250D4" w:rsidRDefault="001250D4" w:rsidP="001250D4">
      <w:pPr>
        <w:pStyle w:val="Pargrafo"/>
        <w:tabs>
          <w:tab w:val="left" w:pos="709"/>
        </w:tabs>
        <w:spacing w:line="36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1250D4" w:rsidRDefault="001250D4" w:rsidP="001250D4">
      <w:pPr>
        <w:pStyle w:val="Pargrafo"/>
        <w:tabs>
          <w:tab w:val="left" w:pos="709"/>
        </w:tabs>
        <w:spacing w:line="360" w:lineRule="auto"/>
        <w:ind w:firstLine="0"/>
        <w:rPr>
          <w:rFonts w:ascii="Times New Roman" w:hAnsi="Times New Roman"/>
        </w:rPr>
      </w:pPr>
    </w:p>
    <w:p w:rsidR="001250D4" w:rsidRDefault="001250D4" w:rsidP="001250D4">
      <w:pPr>
        <w:pStyle w:val="Pargrafo"/>
        <w:tabs>
          <w:tab w:val="left" w:pos="709"/>
        </w:tabs>
        <w:spacing w:line="360" w:lineRule="auto"/>
        <w:ind w:firstLine="0"/>
        <w:rPr>
          <w:rFonts w:ascii="Times New Roman" w:hAnsi="Times New Roman"/>
        </w:rPr>
      </w:pPr>
    </w:p>
    <w:p w:rsidR="001250D4" w:rsidRDefault="001250D4" w:rsidP="001250D4">
      <w:pPr>
        <w:pStyle w:val="Pargrafo"/>
        <w:tabs>
          <w:tab w:val="left" w:pos="709"/>
        </w:tabs>
        <w:spacing w:line="360" w:lineRule="auto"/>
        <w:ind w:firstLine="0"/>
        <w:rPr>
          <w:rFonts w:ascii="Times New Roman" w:hAnsi="Times New Roman"/>
        </w:rPr>
      </w:pPr>
    </w:p>
    <w:p w:rsidR="001250D4" w:rsidRDefault="001250D4" w:rsidP="001250D4">
      <w:pPr>
        <w:pStyle w:val="Pargrafo"/>
        <w:tabs>
          <w:tab w:val="left" w:pos="709"/>
        </w:tabs>
        <w:spacing w:line="360" w:lineRule="auto"/>
        <w:ind w:firstLine="0"/>
        <w:rPr>
          <w:rFonts w:ascii="Times New Roman" w:hAnsi="Times New Roman"/>
        </w:rPr>
      </w:pPr>
    </w:p>
    <w:p w:rsidR="001250D4" w:rsidRDefault="001250D4" w:rsidP="001250D4">
      <w:pPr>
        <w:pStyle w:val="Pargrafo"/>
        <w:tabs>
          <w:tab w:val="left" w:pos="709"/>
        </w:tabs>
        <w:spacing w:line="360" w:lineRule="auto"/>
        <w:ind w:firstLine="0"/>
        <w:rPr>
          <w:rFonts w:ascii="Times New Roman" w:hAnsi="Times New Roman"/>
        </w:rPr>
      </w:pPr>
    </w:p>
    <w:p w:rsidR="001250D4" w:rsidRDefault="001250D4" w:rsidP="001250D4">
      <w:pPr>
        <w:pStyle w:val="Pargrafo"/>
        <w:tabs>
          <w:tab w:val="left" w:pos="709"/>
        </w:tabs>
        <w:spacing w:line="360" w:lineRule="auto"/>
        <w:ind w:firstLine="0"/>
        <w:rPr>
          <w:rFonts w:ascii="Times New Roman" w:hAnsi="Times New Roman"/>
        </w:rPr>
      </w:pPr>
    </w:p>
    <w:p w:rsidR="001250D4" w:rsidRDefault="001250D4" w:rsidP="001250D4">
      <w:pPr>
        <w:pStyle w:val="Pargrafo"/>
        <w:tabs>
          <w:tab w:val="left" w:pos="709"/>
        </w:tabs>
        <w:spacing w:line="360" w:lineRule="auto"/>
        <w:ind w:firstLine="0"/>
        <w:rPr>
          <w:rFonts w:ascii="Times New Roman" w:hAnsi="Times New Roman"/>
        </w:rPr>
      </w:pPr>
    </w:p>
    <w:p w:rsidR="001250D4" w:rsidRDefault="001250D4" w:rsidP="001250D4">
      <w:pPr>
        <w:pStyle w:val="Pargrafo"/>
        <w:tabs>
          <w:tab w:val="left" w:pos="709"/>
        </w:tabs>
        <w:spacing w:line="360" w:lineRule="auto"/>
        <w:ind w:firstLine="0"/>
        <w:rPr>
          <w:rFonts w:ascii="Times New Roman" w:hAnsi="Times New Roman"/>
        </w:rPr>
      </w:pPr>
    </w:p>
    <w:p w:rsidR="001250D4" w:rsidRDefault="001250D4" w:rsidP="001250D4">
      <w:pPr>
        <w:pStyle w:val="Pargrafo"/>
        <w:tabs>
          <w:tab w:val="left" w:pos="709"/>
        </w:tabs>
        <w:spacing w:line="360" w:lineRule="auto"/>
        <w:ind w:firstLine="0"/>
        <w:rPr>
          <w:rFonts w:ascii="Times New Roman" w:hAnsi="Times New Roman"/>
        </w:rPr>
      </w:pPr>
    </w:p>
    <w:p w:rsidR="001250D4" w:rsidRDefault="001250D4" w:rsidP="001250D4">
      <w:pPr>
        <w:pStyle w:val="SemEspaamen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1250D4" w:rsidRDefault="001250D4" w:rsidP="00125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IMC: Índice de Massa Corpórea; SCQ: Superfície Corpórea </w:t>
      </w:r>
      <w:proofErr w:type="gramStart"/>
      <w:r>
        <w:rPr>
          <w:rFonts w:ascii="Arial" w:hAnsi="Arial" w:cs="Arial"/>
          <w:sz w:val="16"/>
          <w:szCs w:val="16"/>
        </w:rPr>
        <w:t>Queimada</w:t>
      </w:r>
      <w:proofErr w:type="gramEnd"/>
    </w:p>
    <w:p w:rsidR="001250D4" w:rsidRDefault="001250D4" w:rsidP="001250D4">
      <w:pPr>
        <w:pStyle w:val="SemEspaamen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1250D4" w:rsidRDefault="001250D4" w:rsidP="001250D4">
      <w:pPr>
        <w:pStyle w:val="SemEspaamen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1250D4" w:rsidRDefault="001250D4" w:rsidP="001250D4">
      <w:pPr>
        <w:pStyle w:val="Pargrafo"/>
        <w:tabs>
          <w:tab w:val="left" w:pos="709"/>
        </w:tabs>
        <w:spacing w:line="36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Quanto </w:t>
      </w:r>
      <w:r w:rsidR="004F1228">
        <w:rPr>
          <w:rFonts w:ascii="Times New Roman" w:hAnsi="Times New Roman"/>
        </w:rPr>
        <w:t>à</w:t>
      </w:r>
      <w:r>
        <w:rPr>
          <w:rFonts w:ascii="Times New Roman" w:hAnsi="Times New Roman"/>
        </w:rPr>
        <w:t xml:space="preserve"> necessidade de assistência ventilatória mecânica, apenas 20% dos avaliados precisaram desse recurso durante o período de internação; e apenas 3 (5%) foram diagnosticados com lesão inalatória. No que tange aos cuidados após alta hospitalar como fisioterapia ambulatorial e ao uso da malha compressiva, a grande maioria dos avaliados segui</w:t>
      </w:r>
      <w:r w:rsidR="004F1228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as orientações preconizadas pela equipe.</w:t>
      </w:r>
    </w:p>
    <w:p w:rsidR="001250D4" w:rsidRDefault="001250D4" w:rsidP="001250D4">
      <w:pPr>
        <w:pStyle w:val="Pargrafo"/>
        <w:tabs>
          <w:tab w:val="left" w:pos="709"/>
        </w:tabs>
        <w:spacing w:line="36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  <w:t>As áreas mais acometidas foram os membros superiores (82%) seguido</w:t>
      </w:r>
      <w:r w:rsidR="009F70E6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da cabeça, </w:t>
      </w:r>
      <w:r w:rsidR="009F70E6">
        <w:rPr>
          <w:rFonts w:ascii="Times New Roman" w:hAnsi="Times New Roman"/>
        </w:rPr>
        <w:t xml:space="preserve">da </w:t>
      </w:r>
      <w:r>
        <w:rPr>
          <w:rFonts w:ascii="Times New Roman" w:hAnsi="Times New Roman"/>
        </w:rPr>
        <w:t xml:space="preserve">face e/ou </w:t>
      </w:r>
      <w:r w:rsidR="009F70E6">
        <w:rPr>
          <w:rFonts w:ascii="Times New Roman" w:hAnsi="Times New Roman"/>
        </w:rPr>
        <w:t xml:space="preserve">do </w:t>
      </w:r>
      <w:r>
        <w:rPr>
          <w:rFonts w:ascii="Times New Roman" w:hAnsi="Times New Roman"/>
        </w:rPr>
        <w:t>pescoço. Em relação à dor, 31 (52%) indivíduos referiram apresentar dores, 28 eram grande</w:t>
      </w:r>
      <w:r w:rsidR="00682EBA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queimados e apenas três médio</w:t>
      </w:r>
      <w:r w:rsidR="00682EBA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queimados. Quatorze (45%) referiram que a dor causava limitação em suas atividades funcionais. Quanto </w:t>
      </w:r>
      <w:r w:rsidR="009F70E6">
        <w:rPr>
          <w:rFonts w:ascii="Times New Roman" w:hAnsi="Times New Roman"/>
        </w:rPr>
        <w:t xml:space="preserve">à </w:t>
      </w:r>
      <w:r>
        <w:rPr>
          <w:rFonts w:ascii="Times New Roman" w:hAnsi="Times New Roman"/>
        </w:rPr>
        <w:t>localização da dor, prevaleceram as dores em membros superiores (69%), seguida</w:t>
      </w:r>
      <w:r w:rsidR="009F70E6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dos membros inferiores (42%) (Tabela 2). Quanto </w:t>
      </w:r>
      <w:r w:rsidR="009F70E6">
        <w:rPr>
          <w:rFonts w:ascii="Times New Roman" w:hAnsi="Times New Roman"/>
        </w:rPr>
        <w:t>à</w:t>
      </w:r>
      <w:r>
        <w:rPr>
          <w:rFonts w:ascii="Times New Roman" w:hAnsi="Times New Roman"/>
        </w:rPr>
        <w:t xml:space="preserve">  intensidade da dor</w:t>
      </w:r>
      <w:r w:rsidR="009F70E6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encontrou-se diferença estatisticamente significante (</w:t>
      </w:r>
      <w:r>
        <w:rPr>
          <w:rFonts w:ascii="Times New Roman" w:hAnsi="Times New Roman"/>
          <w:i/>
        </w:rPr>
        <w:t>p</w:t>
      </w:r>
      <w:r>
        <w:rPr>
          <w:rFonts w:ascii="Times New Roman" w:hAnsi="Times New Roman"/>
        </w:rPr>
        <w:t xml:space="preserve">=0,007) entre os grupos. Antes da </w:t>
      </w:r>
      <w:r>
        <w:rPr>
          <w:rFonts w:ascii="Times New Roman" w:hAnsi="Times New Roman"/>
        </w:rPr>
        <w:lastRenderedPageBreak/>
        <w:t>queimadura</w:t>
      </w:r>
      <w:r w:rsidR="009F70E6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52 deles trabalhavam</w:t>
      </w:r>
      <w:r w:rsidR="009F70E6">
        <w:rPr>
          <w:rFonts w:ascii="Times New Roman" w:hAnsi="Times New Roman"/>
        </w:rPr>
        <w:t xml:space="preserve">. Destes, </w:t>
      </w:r>
      <w:r>
        <w:rPr>
          <w:rFonts w:ascii="Times New Roman" w:hAnsi="Times New Roman"/>
        </w:rPr>
        <w:t xml:space="preserve">36 (69%) conseguiram retornar </w:t>
      </w:r>
      <w:r w:rsidR="009F70E6">
        <w:rPr>
          <w:rFonts w:ascii="Times New Roman" w:hAnsi="Times New Roman"/>
        </w:rPr>
        <w:t>à</w:t>
      </w:r>
      <w:r>
        <w:rPr>
          <w:rFonts w:ascii="Times New Roman" w:hAnsi="Times New Roman"/>
        </w:rPr>
        <w:t>s atividades laborais, porém 16 (31%) indivíduos não conseguiram retornar até o dia da avaliação. Todos os que não conseguiram eram grande</w:t>
      </w:r>
      <w:r w:rsidR="009F70E6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queimados.</w:t>
      </w:r>
    </w:p>
    <w:p w:rsidR="001250D4" w:rsidRDefault="001250D4" w:rsidP="001250D4">
      <w:pPr>
        <w:pStyle w:val="Pargrafo"/>
        <w:tabs>
          <w:tab w:val="left" w:pos="709"/>
        </w:tabs>
        <w:spacing w:line="360" w:lineRule="auto"/>
        <w:ind w:firstLine="0"/>
        <w:rPr>
          <w:rFonts w:ascii="Times New Roman" w:hAnsi="Times New Roman"/>
        </w:rPr>
      </w:pPr>
    </w:p>
    <w:p w:rsidR="001250D4" w:rsidRDefault="001250D4" w:rsidP="003973AD">
      <w:pPr>
        <w:pStyle w:val="Pargrafo"/>
        <w:tabs>
          <w:tab w:val="clear" w:pos="1701"/>
          <w:tab w:val="left" w:pos="0"/>
          <w:tab w:val="left" w:pos="709"/>
        </w:tabs>
        <w:spacing w:line="240" w:lineRule="auto"/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Tabela 2 - Características da dor dos adultos atendidos no CTQ/HU/UEL, distribuídos por gravidade da queimadura, após alta hospitalar. Londrina/PR, 2014.</w:t>
      </w:r>
    </w:p>
    <w:p w:rsidR="001250D4" w:rsidRDefault="001250D4" w:rsidP="001250D4">
      <w:pPr>
        <w:pStyle w:val="Pargrafo"/>
        <w:tabs>
          <w:tab w:val="left" w:pos="709"/>
        </w:tabs>
        <w:rPr>
          <w:rFonts w:ascii="Times New Roman" w:hAnsi="Times New Roman"/>
        </w:rPr>
      </w:pPr>
    </w:p>
    <w:tbl>
      <w:tblPr>
        <w:tblW w:w="5401" w:type="dxa"/>
        <w:tblLook w:val="04A0" w:firstRow="1" w:lastRow="0" w:firstColumn="1" w:lastColumn="0" w:noHBand="0" w:noVBand="1"/>
      </w:tblPr>
      <w:tblGrid>
        <w:gridCol w:w="2235"/>
        <w:gridCol w:w="969"/>
        <w:gridCol w:w="1108"/>
        <w:gridCol w:w="1089"/>
      </w:tblGrid>
      <w:tr w:rsidR="001250D4" w:rsidTr="001250D4">
        <w:trPr>
          <w:trHeight w:val="179"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50D4" w:rsidRDefault="001250D4">
            <w:pPr>
              <w:rPr>
                <w:rFonts w:ascii="Arial" w:eastAsia="Calibri" w:hAnsi="Arial" w:cs="Arial"/>
                <w:b/>
                <w:bCs/>
                <w:sz w:val="4"/>
                <w:szCs w:val="16"/>
                <w:lang w:eastAsia="en-US"/>
              </w:rPr>
            </w:pPr>
          </w:p>
          <w:p w:rsidR="001250D4" w:rsidRDefault="001250D4">
            <w:pPr>
              <w:ind w:right="-298"/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Variável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50D4" w:rsidRDefault="001250D4">
            <w:pPr>
              <w:tabs>
                <w:tab w:val="left" w:pos="860"/>
                <w:tab w:val="right" w:pos="3611"/>
              </w:tabs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Total</w:t>
            </w:r>
          </w:p>
          <w:p w:rsidR="001250D4" w:rsidRDefault="001250D4">
            <w:pPr>
              <w:tabs>
                <w:tab w:val="left" w:pos="860"/>
                <w:tab w:val="right" w:pos="3611"/>
              </w:tabs>
              <w:jc w:val="center"/>
              <w:rPr>
                <w:rFonts w:ascii="Arial" w:eastAsia="Calibri" w:hAnsi="Arial" w:cs="Arial"/>
                <w:b/>
                <w:bCs/>
                <w:sz w:val="8"/>
                <w:szCs w:val="16"/>
                <w:lang w:eastAsia="en-US"/>
              </w:rPr>
            </w:pPr>
          </w:p>
          <w:p w:rsidR="001250D4" w:rsidRDefault="001250D4">
            <w:pPr>
              <w:tabs>
                <w:tab w:val="left" w:pos="860"/>
                <w:tab w:val="right" w:pos="3611"/>
              </w:tabs>
              <w:ind w:left="-295" w:firstLine="534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85089</wp:posOffset>
                      </wp:positionV>
                      <wp:extent cx="1813560" cy="0"/>
                      <wp:effectExtent l="0" t="0" r="15240" b="19050"/>
                      <wp:wrapNone/>
                      <wp:docPr id="2" name="Conector de seta re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135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D69803F" id="Conector de seta reta 2" o:spid="_x0000_s1026" type="#_x0000_t32" style="position:absolute;margin-left:9.5pt;margin-top:6.7pt;width:142.8pt;height:0;z-index:2516648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h4oJAIAAEcEAAAOAAAAZHJzL2Uyb0RvYy54bWysU02P2yAQvVfqf0Dcs/5YJ02sOKvKTnrZ&#10;tpF2+wMIYBvVBgQkTlT1v3fAcZRtL1VVH/DAMG/ezDzWT+e+QydurFCywMlDjBGXVDEhmwJ/e93N&#10;lhhZRyQjnZK8wBdu8dPm/bv1oHOeqlZ1jBsEINLmgy5w65zOo8jSlvfEPijNJThrZXriYGuaiBky&#10;AHrfRWkcL6JBGaaNotxaOK1GJ94E/Lrm1H2ta8sd6goM3FxYTVgPfo02a5I3huhW0CsN8g8seiIk&#10;JL1BVcQRdDTiD6heUKOsqt0DVX2k6lpQHmqAapL4t2peWqJ5qAWaY/WtTfb/wdIvp71BghU4xUiS&#10;HkZUwqCoUwYxjqBzBBm/pL5Vg7Y5RJRyb3yx9Cxf9LOi3y2SqmyJbHig/HrRgJP4iOhNiN9YDQkP&#10;w2fF4A45OhX6dq5N7yGhI+gcxnO5jYefHaJwmCyTx/kCpkgnX0TyKVAb6z5x1SNvFNg6Q0TTOihm&#10;rCYJacjp2TpPi+RTgM8q1U50XdBCJ9FQ4NU8nYcAqzrBvNNfs6Y5lJ1BJ+LVFL5QI3jurxl1lCyA&#10;tZyw7dV2RHSjDck76fGgMKBztUa5/FjFq+1yu8xmWbrYzrK4qmYfd2U2W+ySD/PqsSrLKvnpqSVZ&#10;3grGuPTsJukm2d9J4/qIRtHdxHtrQ/QWPfQLyE7/QDpM1g9zlMVBscveTBMHtYbL15fln8P9Huz7&#10;97/5BQAA//8DAFBLAwQUAAYACAAAACEALmx8vd0AAAAIAQAADwAAAGRycy9kb3ducmV2LnhtbEyP&#10;zW7CMBCE75V4B2uReqmKzU9RCXEQqtRDjwWkXk28JGnjdRQ7JOXpuxUHOK1mZzX7TboZXC3O2IbK&#10;k4bpRIFAyr2tqNBw2L8/v4II0ZA1tSfU8IsBNtnoITWJ9T194nkXC8EhFBKjoYyxSaQMeYnOhIlv&#10;kNg7+daZyLItpG1Nz+GuljOlltKZivhDaRp8KzH/2XVOA4buZaq2K1ccPi7909fs8t03e60fx8N2&#10;DSLiEG/H8I/P6JAx09F3ZIOoWa+4SuQ5X4Bgf64WSxDH60JmqbwvkP0BAAD//wMAUEsBAi0AFAAG&#10;AAgAAAAhALaDOJL+AAAA4QEAABMAAAAAAAAAAAAAAAAAAAAAAFtDb250ZW50X1R5cGVzXS54bWxQ&#10;SwECLQAUAAYACAAAACEAOP0h/9YAAACUAQAACwAAAAAAAAAAAAAAAAAvAQAAX3JlbHMvLnJlbHNQ&#10;SwECLQAUAAYACAAAACEAHxoeKCQCAABHBAAADgAAAAAAAAAAAAAAAAAuAgAAZHJzL2Uyb0RvYy54&#10;bWxQSwECLQAUAAYACAAAACEALmx8vd0AAAAIAQAADwAAAAAAAAAAAAAAAAB+BAAAZHJzL2Rvd25y&#10;ZXYueG1sUEsFBgAAAAAEAAQA8wAAAIgFAAAAAA==&#10;"/>
                  </w:pict>
                </mc:Fallback>
              </mc:AlternateContent>
            </w:r>
          </w:p>
          <w:p w:rsidR="001250D4" w:rsidRDefault="001250D4">
            <w:pPr>
              <w:tabs>
                <w:tab w:val="left" w:pos="860"/>
                <w:tab w:val="right" w:pos="3611"/>
              </w:tabs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n=60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50D4" w:rsidRDefault="001250D4">
            <w:pPr>
              <w:tabs>
                <w:tab w:val="left" w:pos="860"/>
                <w:tab w:val="right" w:pos="3611"/>
              </w:tabs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Médio Queimado</w:t>
            </w:r>
          </w:p>
          <w:p w:rsidR="001250D4" w:rsidRDefault="001250D4">
            <w:pPr>
              <w:tabs>
                <w:tab w:val="left" w:pos="860"/>
                <w:tab w:val="right" w:pos="3611"/>
              </w:tabs>
              <w:jc w:val="center"/>
              <w:rPr>
                <w:rFonts w:ascii="Arial" w:eastAsia="Calibri" w:hAnsi="Arial" w:cs="Arial"/>
                <w:b/>
                <w:bCs/>
                <w:sz w:val="8"/>
                <w:szCs w:val="16"/>
                <w:lang w:eastAsia="en-US"/>
              </w:rPr>
            </w:pPr>
          </w:p>
          <w:p w:rsidR="001250D4" w:rsidRDefault="001250D4">
            <w:pPr>
              <w:tabs>
                <w:tab w:val="left" w:pos="860"/>
                <w:tab w:val="right" w:pos="3611"/>
              </w:tabs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n=16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50D4" w:rsidRDefault="001250D4">
            <w:pPr>
              <w:tabs>
                <w:tab w:val="left" w:pos="860"/>
                <w:tab w:val="right" w:pos="3611"/>
              </w:tabs>
              <w:ind w:left="-250" w:firstLine="250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Grande Queimado</w:t>
            </w:r>
          </w:p>
          <w:p w:rsidR="001250D4" w:rsidRDefault="001250D4">
            <w:pPr>
              <w:tabs>
                <w:tab w:val="left" w:pos="860"/>
                <w:tab w:val="right" w:pos="3611"/>
              </w:tabs>
              <w:jc w:val="center"/>
              <w:rPr>
                <w:rFonts w:ascii="Arial" w:eastAsia="Calibri" w:hAnsi="Arial" w:cs="Arial"/>
                <w:b/>
                <w:bCs/>
                <w:sz w:val="8"/>
                <w:szCs w:val="16"/>
                <w:lang w:eastAsia="en-US"/>
              </w:rPr>
            </w:pPr>
          </w:p>
          <w:p w:rsidR="001250D4" w:rsidRDefault="001250D4">
            <w:pPr>
              <w:tabs>
                <w:tab w:val="left" w:pos="860"/>
                <w:tab w:val="right" w:pos="3611"/>
              </w:tabs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n=44</w:t>
            </w:r>
          </w:p>
          <w:p w:rsidR="001250D4" w:rsidRDefault="001250D4">
            <w:pPr>
              <w:tabs>
                <w:tab w:val="left" w:pos="860"/>
                <w:tab w:val="right" w:pos="3611"/>
              </w:tabs>
              <w:jc w:val="center"/>
              <w:rPr>
                <w:rFonts w:ascii="Arial" w:eastAsia="Calibri" w:hAnsi="Arial" w:cs="Arial"/>
                <w:b/>
                <w:bCs/>
                <w:sz w:val="8"/>
                <w:szCs w:val="16"/>
                <w:lang w:eastAsia="en-US"/>
              </w:rPr>
            </w:pPr>
          </w:p>
        </w:tc>
      </w:tr>
      <w:tr w:rsidR="001250D4" w:rsidTr="001250D4">
        <w:trPr>
          <w:trHeight w:val="1099"/>
        </w:trPr>
        <w:tc>
          <w:tcPr>
            <w:tcW w:w="2235" w:type="dxa"/>
          </w:tcPr>
          <w:p w:rsidR="001250D4" w:rsidRDefault="001250D4">
            <w:pPr>
              <w:rPr>
                <w:rFonts w:ascii="Arial" w:eastAsia="Calibri" w:hAnsi="Arial" w:cs="Arial"/>
                <w:b/>
                <w:bCs/>
                <w:sz w:val="4"/>
                <w:szCs w:val="16"/>
                <w:lang w:eastAsia="en-US"/>
              </w:rPr>
            </w:pPr>
          </w:p>
          <w:p w:rsidR="001250D4" w:rsidRDefault="001250D4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Localização queimadura</w:t>
            </w:r>
          </w:p>
          <w:p w:rsidR="001250D4" w:rsidRDefault="001250D4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 xml:space="preserve">Cabeça, face, </w:t>
            </w:r>
            <w:proofErr w:type="gramStart"/>
            <w: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pescoço</w:t>
            </w:r>
            <w:proofErr w:type="gramEnd"/>
          </w:p>
          <w:p w:rsidR="001250D4" w:rsidRDefault="001250D4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MMSS</w:t>
            </w:r>
          </w:p>
          <w:p w:rsidR="001250D4" w:rsidRDefault="001250D4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MMII</w:t>
            </w:r>
          </w:p>
          <w:p w:rsidR="001250D4" w:rsidRDefault="001250D4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Tronco anterior/posterior</w:t>
            </w:r>
          </w:p>
        </w:tc>
        <w:tc>
          <w:tcPr>
            <w:tcW w:w="969" w:type="dxa"/>
          </w:tcPr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4"/>
                <w:szCs w:val="16"/>
                <w:lang w:eastAsia="en-US"/>
              </w:rPr>
            </w:pP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44 (74%)</w:t>
            </w: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49 (82%)</w:t>
            </w: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30 (50%)</w:t>
            </w: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38(63%)</w:t>
            </w:r>
          </w:p>
        </w:tc>
        <w:tc>
          <w:tcPr>
            <w:tcW w:w="1108" w:type="dxa"/>
          </w:tcPr>
          <w:p w:rsidR="001250D4" w:rsidRDefault="001250D4">
            <w:pPr>
              <w:ind w:left="-534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4"/>
                <w:szCs w:val="16"/>
                <w:lang w:eastAsia="en-US"/>
              </w:rPr>
            </w:pP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11 (69%)</w:t>
            </w: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09 (56%)</w:t>
            </w: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03 (19%)</w:t>
            </w: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10 (63%)</w:t>
            </w:r>
          </w:p>
        </w:tc>
        <w:tc>
          <w:tcPr>
            <w:tcW w:w="1089" w:type="dxa"/>
          </w:tcPr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4"/>
                <w:szCs w:val="16"/>
                <w:lang w:eastAsia="en-US"/>
              </w:rPr>
            </w:pP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33 (75%)</w:t>
            </w: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40 (91%)</w:t>
            </w: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27 (61%)</w:t>
            </w: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28 (64%)</w:t>
            </w:r>
          </w:p>
        </w:tc>
      </w:tr>
      <w:tr w:rsidR="001250D4" w:rsidTr="001250D4">
        <w:trPr>
          <w:trHeight w:val="272"/>
        </w:trPr>
        <w:tc>
          <w:tcPr>
            <w:tcW w:w="2235" w:type="dxa"/>
          </w:tcPr>
          <w:p w:rsidR="001250D4" w:rsidRDefault="001250D4">
            <w:pPr>
              <w:rPr>
                <w:rFonts w:ascii="Arial" w:eastAsia="Calibri" w:hAnsi="Arial" w:cs="Arial"/>
                <w:b/>
                <w:bCs/>
                <w:sz w:val="4"/>
                <w:szCs w:val="16"/>
                <w:lang w:eastAsia="en-US"/>
              </w:rPr>
            </w:pPr>
          </w:p>
          <w:p w:rsidR="001250D4" w:rsidRDefault="001250D4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EVA</w:t>
            </w:r>
          </w:p>
          <w:p w:rsidR="001250D4" w:rsidRDefault="001250D4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Sem dor</w:t>
            </w:r>
          </w:p>
          <w:p w:rsidR="001250D4" w:rsidRDefault="001250D4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 xml:space="preserve">Dor Leve </w:t>
            </w:r>
          </w:p>
          <w:p w:rsidR="001250D4" w:rsidRDefault="001250D4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Dor Moderada</w:t>
            </w:r>
          </w:p>
          <w:p w:rsidR="001250D4" w:rsidRDefault="001250D4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Dor Grave</w:t>
            </w:r>
          </w:p>
        </w:tc>
        <w:tc>
          <w:tcPr>
            <w:tcW w:w="969" w:type="dxa"/>
          </w:tcPr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4"/>
                <w:szCs w:val="16"/>
                <w:lang w:eastAsia="en-US"/>
              </w:rPr>
            </w:pP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29 (48%)</w:t>
            </w: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07 (12%)</w:t>
            </w:r>
          </w:p>
          <w:p w:rsidR="001250D4" w:rsidRDefault="001250D4">
            <w:pPr>
              <w:tabs>
                <w:tab w:val="center" w:pos="1026"/>
                <w:tab w:val="right" w:pos="2052"/>
              </w:tabs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17 (28%)</w:t>
            </w: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07 (12%)</w:t>
            </w:r>
          </w:p>
        </w:tc>
        <w:tc>
          <w:tcPr>
            <w:tcW w:w="1108" w:type="dxa"/>
          </w:tcPr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highlight w:val="yellow"/>
                <w:lang w:eastAsia="en-US"/>
              </w:rPr>
            </w:pP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4"/>
                <w:szCs w:val="16"/>
                <w:highlight w:val="yellow"/>
                <w:lang w:eastAsia="en-US"/>
              </w:rPr>
            </w:pP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13 (81%)</w:t>
            </w: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-</w:t>
            </w: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03 (19%)</w:t>
            </w: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89" w:type="dxa"/>
          </w:tcPr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highlight w:val="yellow"/>
                <w:lang w:eastAsia="en-US"/>
              </w:rPr>
            </w:pP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4"/>
                <w:szCs w:val="16"/>
                <w:highlight w:val="yellow"/>
                <w:lang w:eastAsia="en-US"/>
              </w:rPr>
            </w:pP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16 (36%)</w:t>
            </w: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07 (16%)</w:t>
            </w: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14 (32%)</w:t>
            </w: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07 (16%)</w:t>
            </w: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highlight w:val="yellow"/>
                <w:lang w:eastAsia="en-US"/>
              </w:rPr>
            </w:pPr>
          </w:p>
        </w:tc>
      </w:tr>
      <w:tr w:rsidR="001250D4" w:rsidTr="001250D4">
        <w:trPr>
          <w:trHeight w:val="1036"/>
        </w:trPr>
        <w:tc>
          <w:tcPr>
            <w:tcW w:w="2235" w:type="dxa"/>
          </w:tcPr>
          <w:p w:rsidR="001250D4" w:rsidRDefault="001250D4">
            <w:pPr>
              <w:rPr>
                <w:rFonts w:ascii="Arial" w:eastAsia="Calibri" w:hAnsi="Arial" w:cs="Arial"/>
                <w:b/>
                <w:bCs/>
                <w:sz w:val="4"/>
                <w:szCs w:val="16"/>
                <w:lang w:eastAsia="en-US"/>
              </w:rPr>
            </w:pPr>
          </w:p>
          <w:p w:rsidR="001250D4" w:rsidRDefault="001250D4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Localização da dor</w:t>
            </w:r>
          </w:p>
          <w:p w:rsidR="001250D4" w:rsidRDefault="001250D4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Face, pescoço</w:t>
            </w:r>
          </w:p>
          <w:p w:rsidR="001250D4" w:rsidRDefault="001250D4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MMSS</w:t>
            </w:r>
          </w:p>
          <w:p w:rsidR="001250D4" w:rsidRDefault="001250D4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MMII</w:t>
            </w:r>
          </w:p>
          <w:p w:rsidR="001250D4" w:rsidRDefault="001250D4">
            <w:pPr>
              <w:rPr>
                <w:rFonts w:ascii="Calibri" w:eastAsia="Calibri" w:hAnsi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Tronco anterior/posterior</w:t>
            </w:r>
          </w:p>
        </w:tc>
        <w:tc>
          <w:tcPr>
            <w:tcW w:w="969" w:type="dxa"/>
          </w:tcPr>
          <w:p w:rsidR="001250D4" w:rsidRDefault="001250D4">
            <w:pPr>
              <w:jc w:val="center"/>
              <w:rPr>
                <w:rFonts w:ascii="Arial" w:eastAsia="Calibri" w:hAnsi="Arial" w:cs="Arial"/>
                <w:sz w:val="4"/>
                <w:szCs w:val="16"/>
                <w:lang w:eastAsia="en-US"/>
              </w:rPr>
            </w:pP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n = 31</w:t>
            </w: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04 (13%)</w:t>
            </w: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19 (61%)</w:t>
            </w: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13 (42%)</w:t>
            </w: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11 (35%)</w:t>
            </w:r>
          </w:p>
        </w:tc>
        <w:tc>
          <w:tcPr>
            <w:tcW w:w="1108" w:type="dxa"/>
          </w:tcPr>
          <w:p w:rsidR="001250D4" w:rsidRDefault="001250D4">
            <w:pPr>
              <w:jc w:val="center"/>
              <w:rPr>
                <w:rFonts w:ascii="Arial" w:eastAsia="Calibri" w:hAnsi="Arial" w:cs="Arial"/>
                <w:sz w:val="4"/>
                <w:szCs w:val="16"/>
                <w:lang w:eastAsia="en-US"/>
              </w:rPr>
            </w:pP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n = 03</w:t>
            </w: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01 (33,3%)</w:t>
            </w: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-</w:t>
            </w: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01 (33,3%)</w:t>
            </w: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01 (33,3%)</w:t>
            </w:r>
          </w:p>
        </w:tc>
        <w:tc>
          <w:tcPr>
            <w:tcW w:w="1089" w:type="dxa"/>
          </w:tcPr>
          <w:p w:rsidR="001250D4" w:rsidRDefault="001250D4">
            <w:pPr>
              <w:jc w:val="center"/>
              <w:rPr>
                <w:rFonts w:ascii="Arial" w:eastAsia="Calibri" w:hAnsi="Arial" w:cs="Arial"/>
                <w:sz w:val="4"/>
                <w:szCs w:val="16"/>
                <w:lang w:eastAsia="en-US"/>
              </w:rPr>
            </w:pP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n = 28</w:t>
            </w: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03 (11%)</w:t>
            </w: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19 (68%)</w:t>
            </w: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12 (43%)</w:t>
            </w: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10 (23%)</w:t>
            </w:r>
          </w:p>
        </w:tc>
      </w:tr>
      <w:tr w:rsidR="001250D4" w:rsidTr="001250D4">
        <w:trPr>
          <w:trHeight w:val="767"/>
        </w:trPr>
        <w:tc>
          <w:tcPr>
            <w:tcW w:w="2235" w:type="dxa"/>
          </w:tcPr>
          <w:p w:rsidR="001250D4" w:rsidRDefault="001250D4">
            <w:pPr>
              <w:rPr>
                <w:rFonts w:ascii="Arial" w:eastAsia="Calibri" w:hAnsi="Arial" w:cs="Arial"/>
                <w:b/>
                <w:bCs/>
                <w:sz w:val="8"/>
                <w:szCs w:val="16"/>
                <w:lang w:eastAsia="en-US"/>
              </w:rPr>
            </w:pPr>
          </w:p>
          <w:p w:rsidR="001250D4" w:rsidRDefault="001250D4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 xml:space="preserve">Dor limitante </w:t>
            </w:r>
          </w:p>
          <w:p w:rsidR="001250D4" w:rsidRDefault="001250D4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Sim</w:t>
            </w:r>
          </w:p>
          <w:p w:rsidR="001250D4" w:rsidRDefault="001250D4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Não</w:t>
            </w:r>
          </w:p>
        </w:tc>
        <w:tc>
          <w:tcPr>
            <w:tcW w:w="969" w:type="dxa"/>
          </w:tcPr>
          <w:p w:rsidR="001250D4" w:rsidRDefault="001250D4">
            <w:pPr>
              <w:jc w:val="center"/>
              <w:rPr>
                <w:rFonts w:ascii="Arial" w:eastAsia="Calibri" w:hAnsi="Arial" w:cs="Arial"/>
                <w:sz w:val="6"/>
                <w:szCs w:val="16"/>
                <w:lang w:eastAsia="en-US"/>
              </w:rPr>
            </w:pP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n = 31</w:t>
            </w: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14 (45%)</w:t>
            </w: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17 (55%)</w:t>
            </w:r>
          </w:p>
        </w:tc>
        <w:tc>
          <w:tcPr>
            <w:tcW w:w="1108" w:type="dxa"/>
          </w:tcPr>
          <w:p w:rsidR="001250D4" w:rsidRDefault="001250D4">
            <w:pPr>
              <w:jc w:val="center"/>
              <w:rPr>
                <w:rFonts w:ascii="Arial" w:eastAsia="Calibri" w:hAnsi="Arial" w:cs="Arial"/>
                <w:sz w:val="6"/>
                <w:szCs w:val="16"/>
                <w:lang w:eastAsia="en-US"/>
              </w:rPr>
            </w:pP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n = 03</w:t>
            </w: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03 (100%)</w:t>
            </w: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89" w:type="dxa"/>
          </w:tcPr>
          <w:p w:rsidR="001250D4" w:rsidRDefault="001250D4">
            <w:pPr>
              <w:jc w:val="center"/>
              <w:rPr>
                <w:rFonts w:ascii="Arial" w:eastAsia="Calibri" w:hAnsi="Arial" w:cs="Arial"/>
                <w:sz w:val="8"/>
                <w:szCs w:val="16"/>
                <w:lang w:eastAsia="en-US"/>
              </w:rPr>
            </w:pP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n = 28</w:t>
            </w: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11 (39%)</w:t>
            </w: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17 (61%)</w:t>
            </w:r>
          </w:p>
        </w:tc>
      </w:tr>
      <w:tr w:rsidR="001250D4" w:rsidTr="001250D4">
        <w:trPr>
          <w:trHeight w:val="780"/>
        </w:trPr>
        <w:tc>
          <w:tcPr>
            <w:tcW w:w="2235" w:type="dxa"/>
          </w:tcPr>
          <w:p w:rsidR="001250D4" w:rsidRDefault="001250D4">
            <w:pPr>
              <w:rPr>
                <w:rFonts w:ascii="Arial" w:eastAsia="Calibri" w:hAnsi="Arial" w:cs="Arial"/>
                <w:b/>
                <w:bCs/>
                <w:sz w:val="8"/>
                <w:szCs w:val="16"/>
                <w:lang w:eastAsia="en-US"/>
              </w:rPr>
            </w:pPr>
          </w:p>
          <w:p w:rsidR="001250D4" w:rsidRDefault="001250D4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Trabalhava antes</w:t>
            </w:r>
          </w:p>
          <w:p w:rsidR="001250D4" w:rsidRDefault="001250D4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Sim</w:t>
            </w:r>
          </w:p>
          <w:p w:rsidR="001250D4" w:rsidRDefault="001250D4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Não</w:t>
            </w:r>
          </w:p>
        </w:tc>
        <w:tc>
          <w:tcPr>
            <w:tcW w:w="969" w:type="dxa"/>
          </w:tcPr>
          <w:p w:rsidR="001250D4" w:rsidRDefault="001250D4">
            <w:pPr>
              <w:jc w:val="center"/>
              <w:rPr>
                <w:rFonts w:ascii="Arial" w:eastAsia="Calibri" w:hAnsi="Arial" w:cs="Arial"/>
                <w:sz w:val="6"/>
                <w:szCs w:val="16"/>
                <w:lang w:eastAsia="en-US"/>
              </w:rPr>
            </w:pP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n = 60</w:t>
            </w: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52 (87%)</w:t>
            </w: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08 (13%)</w:t>
            </w:r>
          </w:p>
        </w:tc>
        <w:tc>
          <w:tcPr>
            <w:tcW w:w="1108" w:type="dxa"/>
          </w:tcPr>
          <w:p w:rsidR="001250D4" w:rsidRDefault="001250D4">
            <w:pPr>
              <w:jc w:val="center"/>
              <w:rPr>
                <w:rFonts w:ascii="Arial" w:eastAsia="Calibri" w:hAnsi="Arial" w:cs="Arial"/>
                <w:sz w:val="6"/>
                <w:szCs w:val="16"/>
                <w:lang w:eastAsia="en-US"/>
              </w:rPr>
            </w:pP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n = 16</w:t>
            </w: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15 (25%)</w:t>
            </w: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01 (2%)</w:t>
            </w:r>
          </w:p>
        </w:tc>
        <w:tc>
          <w:tcPr>
            <w:tcW w:w="1089" w:type="dxa"/>
          </w:tcPr>
          <w:p w:rsidR="001250D4" w:rsidRDefault="001250D4">
            <w:pPr>
              <w:jc w:val="center"/>
              <w:rPr>
                <w:rFonts w:ascii="Arial" w:eastAsia="Calibri" w:hAnsi="Arial" w:cs="Arial"/>
                <w:sz w:val="8"/>
                <w:szCs w:val="16"/>
                <w:lang w:eastAsia="en-US"/>
              </w:rPr>
            </w:pP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n = 44</w:t>
            </w: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37 (61%)</w:t>
            </w: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07 (12%)</w:t>
            </w:r>
          </w:p>
        </w:tc>
      </w:tr>
      <w:tr w:rsidR="001250D4" w:rsidTr="001250D4">
        <w:trPr>
          <w:trHeight w:val="272"/>
        </w:trPr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50D4" w:rsidRDefault="001250D4">
            <w:pPr>
              <w:rPr>
                <w:rFonts w:ascii="Arial" w:eastAsia="Calibri" w:hAnsi="Arial" w:cs="Arial"/>
                <w:b/>
                <w:bCs/>
                <w:sz w:val="8"/>
                <w:szCs w:val="16"/>
                <w:lang w:eastAsia="en-US"/>
              </w:rPr>
            </w:pPr>
          </w:p>
          <w:p w:rsidR="001250D4" w:rsidRDefault="001250D4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Retorno ao trabalho</w:t>
            </w:r>
          </w:p>
          <w:p w:rsidR="001250D4" w:rsidRDefault="001250D4">
            <w:pP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Sim</w:t>
            </w:r>
          </w:p>
          <w:p w:rsidR="001250D4" w:rsidRDefault="001250D4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Não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50D4" w:rsidRDefault="001250D4">
            <w:pPr>
              <w:jc w:val="center"/>
              <w:rPr>
                <w:rFonts w:ascii="Arial" w:eastAsia="Calibri" w:hAnsi="Arial" w:cs="Arial"/>
                <w:sz w:val="8"/>
                <w:szCs w:val="16"/>
                <w:lang w:eastAsia="en-US"/>
              </w:rPr>
            </w:pP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36 (69%)</w:t>
            </w: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16 (31%)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8"/>
                <w:szCs w:val="16"/>
                <w:lang w:eastAsia="en-US"/>
              </w:rPr>
            </w:pP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15 (94%)</w:t>
            </w: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50D4" w:rsidRDefault="001250D4">
            <w:pPr>
              <w:jc w:val="center"/>
              <w:rPr>
                <w:rFonts w:ascii="Arial" w:eastAsia="Calibri" w:hAnsi="Arial" w:cs="Arial"/>
                <w:sz w:val="8"/>
                <w:szCs w:val="16"/>
                <w:lang w:eastAsia="en-US"/>
              </w:rPr>
            </w:pP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21 (48%)</w:t>
            </w:r>
          </w:p>
          <w:p w:rsidR="001250D4" w:rsidRDefault="001250D4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16 (36%)</w:t>
            </w:r>
          </w:p>
        </w:tc>
      </w:tr>
    </w:tbl>
    <w:p w:rsidR="001250D4" w:rsidRDefault="001250D4" w:rsidP="001250D4">
      <w:pPr>
        <w:pStyle w:val="Pargrafo"/>
        <w:tabs>
          <w:tab w:val="left" w:pos="709"/>
        </w:tabs>
        <w:spacing w:line="240" w:lineRule="auto"/>
        <w:ind w:firstLine="0"/>
        <w:rPr>
          <w:rFonts w:cs="Arial"/>
          <w:sz w:val="16"/>
        </w:rPr>
      </w:pPr>
      <w:r>
        <w:rPr>
          <w:rFonts w:cs="Arial"/>
          <w:sz w:val="16"/>
        </w:rPr>
        <w:t>EVA: Escala Visual Analógica; MMSS: membros superiores; MMII: membros</w:t>
      </w:r>
    </w:p>
    <w:p w:rsidR="001250D4" w:rsidRDefault="001250D4" w:rsidP="001250D4">
      <w:pPr>
        <w:pStyle w:val="Pargrafo"/>
        <w:tabs>
          <w:tab w:val="left" w:pos="709"/>
        </w:tabs>
        <w:spacing w:line="360" w:lineRule="auto"/>
        <w:ind w:firstLine="0"/>
        <w:rPr>
          <w:rFonts w:cs="Arial"/>
          <w:sz w:val="16"/>
        </w:rPr>
      </w:pPr>
      <w:r>
        <w:rPr>
          <w:rFonts w:cs="Arial"/>
          <w:sz w:val="16"/>
        </w:rPr>
        <w:t>inferiores</w:t>
      </w:r>
    </w:p>
    <w:p w:rsidR="001250D4" w:rsidRDefault="001250D4" w:rsidP="001250D4">
      <w:pPr>
        <w:pStyle w:val="Pargrafo"/>
        <w:tabs>
          <w:tab w:val="left" w:pos="709"/>
        </w:tabs>
        <w:spacing w:line="360" w:lineRule="auto"/>
        <w:ind w:firstLine="0"/>
        <w:rPr>
          <w:rFonts w:ascii="Times New Roman" w:hAnsi="Times New Roman"/>
        </w:rPr>
      </w:pPr>
    </w:p>
    <w:p w:rsidR="001250D4" w:rsidRDefault="001250D4" w:rsidP="001250D4">
      <w:pPr>
        <w:tabs>
          <w:tab w:val="left" w:pos="851"/>
        </w:tabs>
        <w:spacing w:line="360" w:lineRule="auto"/>
        <w:ind w:firstLine="708"/>
        <w:jc w:val="both"/>
      </w:pPr>
      <w:r>
        <w:t xml:space="preserve">  Quanto ao nível de atividade física, observou-se que a maioria estava realizando atividades físicas nas duas últimas semanas, </w:t>
      </w:r>
      <w:r w:rsidR="009F70E6">
        <w:t xml:space="preserve">sendo que </w:t>
      </w:r>
      <w:r>
        <w:t>36 encontravam-se na faixa de ativos e/ou muito ativos (60%). Quanto ao tempo das atividades realizadas</w:t>
      </w:r>
      <w:r w:rsidR="009F70E6">
        <w:t>,</w:t>
      </w:r>
      <w:r>
        <w:t xml:space="preserve"> a mediana da caminhada foi de 100 minutos, 120 minutos para as atividades moderadas e</w:t>
      </w:r>
      <w:r w:rsidR="009F70E6">
        <w:t>,</w:t>
      </w:r>
      <w:r>
        <w:t xml:space="preserve"> para as atividades mais vigorosas</w:t>
      </w:r>
      <w:r w:rsidR="009F70E6">
        <w:t>,</w:t>
      </w:r>
      <w:r>
        <w:t xml:space="preserve"> zero (0 – 45) minutos (Tabela 3). Apesar de estarem realizando atividades físicas, chama a atenção </w:t>
      </w:r>
      <w:r w:rsidR="009F70E6">
        <w:t xml:space="preserve">o fato de </w:t>
      </w:r>
      <w:r>
        <w:t>que 57% dos avaliados estão acima do peso, classificando-se entre sobrepeso e obesidade grau I e II.</w:t>
      </w:r>
    </w:p>
    <w:p w:rsidR="003973AD" w:rsidRDefault="003973AD" w:rsidP="001250D4">
      <w:pPr>
        <w:tabs>
          <w:tab w:val="left" w:pos="851"/>
        </w:tabs>
        <w:spacing w:line="360" w:lineRule="auto"/>
        <w:ind w:firstLine="708"/>
        <w:jc w:val="both"/>
      </w:pPr>
    </w:p>
    <w:p w:rsidR="003973AD" w:rsidRDefault="003973AD" w:rsidP="001250D4">
      <w:pPr>
        <w:tabs>
          <w:tab w:val="left" w:pos="851"/>
        </w:tabs>
        <w:spacing w:line="360" w:lineRule="auto"/>
        <w:ind w:firstLine="708"/>
        <w:jc w:val="both"/>
      </w:pPr>
    </w:p>
    <w:p w:rsidR="003973AD" w:rsidRDefault="003973AD" w:rsidP="001250D4">
      <w:pPr>
        <w:tabs>
          <w:tab w:val="left" w:pos="851"/>
        </w:tabs>
        <w:spacing w:line="360" w:lineRule="auto"/>
        <w:ind w:firstLine="708"/>
        <w:jc w:val="both"/>
      </w:pPr>
    </w:p>
    <w:p w:rsidR="001250D4" w:rsidRDefault="001250D4" w:rsidP="001250D4">
      <w:pPr>
        <w:pStyle w:val="Pargrafo"/>
        <w:tabs>
          <w:tab w:val="left" w:pos="709"/>
        </w:tabs>
        <w:spacing w:line="240" w:lineRule="auto"/>
        <w:ind w:firstLine="0"/>
        <w:rPr>
          <w:rFonts w:ascii="Times New Roman" w:hAnsi="Times New Roman"/>
          <w:sz w:val="14"/>
          <w:szCs w:val="24"/>
        </w:rPr>
      </w:pPr>
      <w:r>
        <w:rPr>
          <w:rFonts w:ascii="Times New Roman" w:hAnsi="Times New Roman"/>
          <w:szCs w:val="24"/>
        </w:rPr>
        <w:lastRenderedPageBreak/>
        <w:t>Tabela 3</w:t>
      </w:r>
      <w:r w:rsidR="009F70E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– Nível de atividade física e dor nos pacientes grande</w:t>
      </w:r>
      <w:r w:rsidR="009F70E6">
        <w:rPr>
          <w:rFonts w:ascii="Times New Roman" w:hAnsi="Times New Roman"/>
          <w:szCs w:val="24"/>
        </w:rPr>
        <w:t>s</w:t>
      </w:r>
      <w:r>
        <w:rPr>
          <w:rFonts w:ascii="Times New Roman" w:hAnsi="Times New Roman"/>
          <w:szCs w:val="24"/>
        </w:rPr>
        <w:t xml:space="preserve"> e médio</w:t>
      </w:r>
      <w:r w:rsidR="009F70E6">
        <w:rPr>
          <w:rFonts w:ascii="Times New Roman" w:hAnsi="Times New Roman"/>
          <w:szCs w:val="24"/>
        </w:rPr>
        <w:t>s</w:t>
      </w:r>
      <w:r>
        <w:rPr>
          <w:rFonts w:ascii="Times New Roman" w:hAnsi="Times New Roman"/>
          <w:szCs w:val="24"/>
        </w:rPr>
        <w:t xml:space="preserve"> queimados após alta hospitalar atendidos no CTQ/HU/UEL. Londrina/PR, 2014.</w:t>
      </w:r>
    </w:p>
    <w:p w:rsidR="001250D4" w:rsidRDefault="001250D4" w:rsidP="001250D4">
      <w:pPr>
        <w:tabs>
          <w:tab w:val="left" w:pos="851"/>
        </w:tabs>
        <w:spacing w:line="360" w:lineRule="auto"/>
        <w:ind w:firstLine="708"/>
        <w:jc w:val="both"/>
      </w:pPr>
    </w:p>
    <w:tbl>
      <w:tblPr>
        <w:tblW w:w="921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3"/>
        <w:gridCol w:w="1561"/>
        <w:gridCol w:w="1559"/>
        <w:gridCol w:w="1701"/>
        <w:gridCol w:w="992"/>
      </w:tblGrid>
      <w:tr w:rsidR="001250D4" w:rsidTr="001250D4">
        <w:trPr>
          <w:trHeight w:val="807"/>
        </w:trPr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250D4" w:rsidRDefault="001250D4">
            <w:pPr>
              <w:tabs>
                <w:tab w:val="left" w:pos="860"/>
                <w:tab w:val="right" w:pos="3611"/>
              </w:tabs>
              <w:spacing w:line="480" w:lineRule="auto"/>
              <w:rPr>
                <w:rFonts w:ascii="Arial" w:eastAsia="Calibri" w:hAnsi="Arial" w:cs="Arial"/>
                <w:b/>
                <w:bCs/>
                <w:sz w:val="8"/>
                <w:szCs w:val="16"/>
                <w:lang w:eastAsia="en-US"/>
              </w:rPr>
            </w:pPr>
          </w:p>
          <w:p w:rsidR="001250D4" w:rsidRDefault="001250D4">
            <w:pPr>
              <w:tabs>
                <w:tab w:val="left" w:pos="860"/>
                <w:tab w:val="right" w:pos="3611"/>
              </w:tabs>
              <w:spacing w:line="480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2082165</wp:posOffset>
                      </wp:positionH>
                      <wp:positionV relativeFrom="paragraph">
                        <wp:posOffset>189229</wp:posOffset>
                      </wp:positionV>
                      <wp:extent cx="3703320" cy="0"/>
                      <wp:effectExtent l="0" t="0" r="11430" b="19050"/>
                      <wp:wrapNone/>
                      <wp:docPr id="1" name="Conector de seta reta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033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2D74228" id="Conector de seta reta 1" o:spid="_x0000_s1026" type="#_x0000_t32" style="position:absolute;margin-left:163.95pt;margin-top:14.9pt;width:291.6pt;height:0;z-index:2516659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3yWJQIAAEcEAAAOAAAAZHJzL2Uyb0RvYy54bWysU8uO2yAU3VfqPyD2ie08ZhIrzqiyk26m&#10;nUgz/QAC2EbFgIDEiar+ey84SZt2U1X1AvO493DPOZfV06mT6MitE1oVOBunGHFFNROqKfCXt+1o&#10;gZHzRDEiteIFPnOHn9bv3616k/OJbrVk3CIAUS7vTYFb702eJI62vCNurA1XcFhr2xEPS9skzJIe&#10;0DuZTNL0Iem1ZcZqyp2D3Wo4xOuIX9ec+pe6dtwjWWCozcfRxnEfxmS9InljiWkFvZRB/qGKjggF&#10;l96gKuIJOljxB1QnqNVO135MdZfouhaURw7AJkt/Y/PaEsMjFxDHmZtM7v/B0s/HnUWCgXcYKdKB&#10;RSUYRb22iHEEyhFkw5AFqXrjcsgo1c4GsvSkXs2zpl8dUrpsiWp4LPntbAAnZiR3KWHhDFy47z9p&#10;BjHk4HXU7VTbLkCCIugU7Tnf7OEnjyhsTh/T6XQCLtLrWULya6Kxzn/kukNhUmDnLRFN64HMwCaL&#10;15Djs/NABBKvCeFWpbdCytgLUqG+wMv5ZB4TnJaChcMQ5myzL6VFRxK6KX5BFQC7C7P6oFgEazlh&#10;m8vcEyGHOcRLFfCAGJRzmQ3t8m2ZLjeLzWI2mk0eNqNZWlWjD9tyNnrYZo/zalqVZZV9D6Vls7wV&#10;jHEVqru2bjb7u9a4PKKh6W7Ne5MhuUePFKHY6z8WHZ0NZg5tsdfsvLNBjWAydGsMvrys8Bx+Xceo&#10;n+9//QMAAP//AwBQSwMEFAAGAAgAAAAhAI6BB4DeAAAACQEAAA8AAABkcnMvZG93bnJldi54bWxM&#10;j01PwzAMhu9I/IfISLsglqaIj5am0zSJA0e2SVyzxrTdGqdq0rXs12PEAY62H71+3mI1u06ccQit&#10;Jw1qmYBAqrxtqdaw373ePYMI0ZA1nSfU8IUBVuX1VWFy6yd6x/M21oJDKORGQxNjn0sZqgadCUvf&#10;I/Ht0w/ORB6HWtrBTBzuOpkmyaN0piX+0JgeNw1Wp+3oNGAYH1Syzly9f7tMtx/p5Tj1O60XN/P6&#10;BUTEOf7B8KPP6lCy08GPZIPoNNynTxmjGtKMKzCQKaVAHH4Xsizk/wblNwAAAP//AwBQSwECLQAU&#10;AAYACAAAACEAtoM4kv4AAADhAQAAEwAAAAAAAAAAAAAAAAAAAAAAW0NvbnRlbnRfVHlwZXNdLnht&#10;bFBLAQItABQABgAIAAAAIQA4/SH/1gAAAJQBAAALAAAAAAAAAAAAAAAAAC8BAABfcmVscy8ucmVs&#10;c1BLAQItABQABgAIAAAAIQDUU3yWJQIAAEcEAAAOAAAAAAAAAAAAAAAAAC4CAABkcnMvZTJvRG9j&#10;LnhtbFBLAQItABQABgAIAAAAIQCOgQeA3gAAAAkBAAAPAAAAAAAAAAAAAAAAAH8EAABkcnMvZG93&#10;bnJldi54bWxQSwUGAAAAAAQABADzAAAAigUAAAAA&#10;"/>
                  </w:pict>
                </mc:Fallback>
              </mc:AlternateContent>
            </w:r>
            <w: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Variáveis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250D4" w:rsidRDefault="001250D4">
            <w:pPr>
              <w:tabs>
                <w:tab w:val="left" w:pos="860"/>
                <w:tab w:val="right" w:pos="3611"/>
              </w:tabs>
              <w:spacing w:line="480" w:lineRule="auto"/>
              <w:jc w:val="center"/>
              <w:rPr>
                <w:rFonts w:ascii="Arial" w:eastAsia="Calibri" w:hAnsi="Arial" w:cs="Arial"/>
                <w:b/>
                <w:bCs/>
                <w:sz w:val="8"/>
                <w:szCs w:val="16"/>
                <w:lang w:eastAsia="en-US"/>
              </w:rPr>
            </w:pPr>
          </w:p>
          <w:p w:rsidR="001250D4" w:rsidRDefault="001250D4">
            <w:pPr>
              <w:tabs>
                <w:tab w:val="left" w:pos="860"/>
                <w:tab w:val="right" w:pos="3611"/>
              </w:tabs>
              <w:spacing w:line="480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Geral</w:t>
            </w:r>
          </w:p>
          <w:p w:rsidR="001250D4" w:rsidRDefault="001250D4">
            <w:pPr>
              <w:tabs>
                <w:tab w:val="left" w:pos="860"/>
                <w:tab w:val="right" w:pos="3611"/>
              </w:tabs>
              <w:spacing w:line="480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n = 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250D4" w:rsidRDefault="001250D4">
            <w:pPr>
              <w:tabs>
                <w:tab w:val="left" w:pos="860"/>
                <w:tab w:val="right" w:pos="3611"/>
              </w:tabs>
              <w:spacing w:line="480" w:lineRule="auto"/>
              <w:rPr>
                <w:rFonts w:ascii="Arial" w:eastAsia="Calibri" w:hAnsi="Arial" w:cs="Arial"/>
                <w:b/>
                <w:bCs/>
                <w:sz w:val="8"/>
                <w:szCs w:val="16"/>
                <w:lang w:eastAsia="en-US"/>
              </w:rPr>
            </w:pPr>
          </w:p>
          <w:p w:rsidR="001250D4" w:rsidRDefault="001250D4">
            <w:pPr>
              <w:tabs>
                <w:tab w:val="left" w:pos="860"/>
                <w:tab w:val="right" w:pos="3611"/>
              </w:tabs>
              <w:spacing w:line="480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Médio Queimado</w:t>
            </w:r>
          </w:p>
          <w:p w:rsidR="001250D4" w:rsidRDefault="001250D4">
            <w:pPr>
              <w:tabs>
                <w:tab w:val="left" w:pos="860"/>
                <w:tab w:val="right" w:pos="3611"/>
              </w:tabs>
              <w:spacing w:line="480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n = 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250D4" w:rsidRDefault="001250D4">
            <w:pPr>
              <w:tabs>
                <w:tab w:val="left" w:pos="860"/>
                <w:tab w:val="right" w:pos="3611"/>
              </w:tabs>
              <w:spacing w:line="480" w:lineRule="auto"/>
              <w:rPr>
                <w:rFonts w:ascii="Arial" w:eastAsia="Calibri" w:hAnsi="Arial" w:cs="Arial"/>
                <w:b/>
                <w:bCs/>
                <w:sz w:val="8"/>
                <w:szCs w:val="16"/>
                <w:lang w:eastAsia="en-US"/>
              </w:rPr>
            </w:pPr>
          </w:p>
          <w:p w:rsidR="001250D4" w:rsidRDefault="001250D4">
            <w:pPr>
              <w:tabs>
                <w:tab w:val="left" w:pos="860"/>
                <w:tab w:val="right" w:pos="3611"/>
              </w:tabs>
              <w:spacing w:line="480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Grande Queimado</w:t>
            </w:r>
          </w:p>
          <w:p w:rsidR="001250D4" w:rsidRDefault="001250D4">
            <w:pPr>
              <w:tabs>
                <w:tab w:val="left" w:pos="860"/>
                <w:tab w:val="right" w:pos="3611"/>
              </w:tabs>
              <w:spacing w:line="480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n = 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250D4" w:rsidRDefault="001250D4">
            <w:pPr>
              <w:tabs>
                <w:tab w:val="left" w:pos="860"/>
                <w:tab w:val="right" w:pos="3611"/>
              </w:tabs>
              <w:spacing w:line="480" w:lineRule="auto"/>
              <w:jc w:val="center"/>
              <w:rPr>
                <w:rFonts w:ascii="Arial" w:eastAsia="Calibri" w:hAnsi="Arial" w:cs="Arial"/>
                <w:b/>
                <w:bCs/>
                <w:i/>
                <w:sz w:val="8"/>
                <w:szCs w:val="16"/>
                <w:lang w:eastAsia="en-US"/>
              </w:rPr>
            </w:pPr>
          </w:p>
          <w:p w:rsidR="001250D4" w:rsidRDefault="001250D4">
            <w:pPr>
              <w:tabs>
                <w:tab w:val="left" w:pos="860"/>
                <w:tab w:val="right" w:pos="3611"/>
              </w:tabs>
              <w:spacing w:line="480" w:lineRule="auto"/>
              <w:jc w:val="center"/>
              <w:rPr>
                <w:rFonts w:ascii="Arial" w:eastAsia="Calibri" w:hAnsi="Arial" w:cs="Arial"/>
                <w:b/>
                <w:bCs/>
                <w:i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i/>
                <w:sz w:val="16"/>
                <w:szCs w:val="16"/>
                <w:lang w:eastAsia="en-US"/>
              </w:rPr>
              <w:t>p</w:t>
            </w:r>
          </w:p>
        </w:tc>
      </w:tr>
      <w:tr w:rsidR="001250D4" w:rsidTr="001250D4">
        <w:trPr>
          <w:trHeight w:val="262"/>
        </w:trPr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50D4" w:rsidRDefault="001250D4">
            <w:pPr>
              <w:spacing w:line="480" w:lineRule="auto"/>
              <w:rPr>
                <w:rFonts w:ascii="Arial" w:eastAsia="Calibri" w:hAnsi="Arial" w:cs="Arial"/>
                <w:b/>
                <w:bCs/>
                <w:sz w:val="8"/>
                <w:szCs w:val="16"/>
                <w:lang w:eastAsia="en-US"/>
              </w:rPr>
            </w:pPr>
          </w:p>
          <w:p w:rsidR="001250D4" w:rsidRDefault="001250D4">
            <w:pPr>
              <w:spacing w:line="480" w:lineRule="auto"/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IPAQ (AT/SD)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50D4" w:rsidRDefault="001250D4">
            <w:pPr>
              <w:spacing w:line="480" w:lineRule="auto"/>
              <w:rPr>
                <w:rFonts w:ascii="Arial" w:eastAsia="Calibri" w:hAnsi="Arial" w:cs="Arial"/>
                <w:sz w:val="8"/>
                <w:szCs w:val="16"/>
                <w:lang w:eastAsia="en-US"/>
              </w:rPr>
            </w:pPr>
          </w:p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36/ 24</w:t>
            </w:r>
          </w:p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60% / 40%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50D4" w:rsidRDefault="001250D4">
            <w:pPr>
              <w:spacing w:line="480" w:lineRule="auto"/>
              <w:jc w:val="right"/>
              <w:rPr>
                <w:rFonts w:ascii="Arial" w:eastAsia="Calibri" w:hAnsi="Arial" w:cs="Arial"/>
                <w:sz w:val="8"/>
                <w:szCs w:val="16"/>
                <w:lang w:eastAsia="en-US"/>
              </w:rPr>
            </w:pPr>
          </w:p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08 / 08</w:t>
            </w:r>
          </w:p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50% / 50%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50D4" w:rsidRDefault="001250D4">
            <w:pPr>
              <w:spacing w:line="480" w:lineRule="auto"/>
              <w:jc w:val="right"/>
              <w:rPr>
                <w:rFonts w:ascii="Arial" w:eastAsia="Calibri" w:hAnsi="Arial" w:cs="Arial"/>
                <w:sz w:val="8"/>
                <w:szCs w:val="16"/>
                <w:lang w:eastAsia="en-US"/>
              </w:rPr>
            </w:pPr>
          </w:p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28 / 16</w:t>
            </w:r>
          </w:p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64% / 36%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8"/>
                <w:szCs w:val="16"/>
                <w:lang w:eastAsia="en-US"/>
              </w:rPr>
            </w:pPr>
          </w:p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0,512</w:t>
            </w:r>
          </w:p>
        </w:tc>
      </w:tr>
      <w:tr w:rsidR="001250D4" w:rsidTr="001250D4">
        <w:tc>
          <w:tcPr>
            <w:tcW w:w="3401" w:type="dxa"/>
            <w:shd w:val="clear" w:color="auto" w:fill="FFFFFF"/>
          </w:tcPr>
          <w:p w:rsidR="001250D4" w:rsidRDefault="001250D4">
            <w:pPr>
              <w:spacing w:line="480" w:lineRule="auto"/>
              <w:rPr>
                <w:rFonts w:ascii="Arial" w:eastAsia="Calibri" w:hAnsi="Arial" w:cs="Arial"/>
                <w:b/>
                <w:bCs/>
                <w:sz w:val="8"/>
                <w:szCs w:val="16"/>
                <w:lang w:eastAsia="en-US"/>
              </w:rPr>
            </w:pPr>
          </w:p>
          <w:p w:rsidR="001250D4" w:rsidRDefault="001250D4">
            <w:pPr>
              <w:spacing w:line="480" w:lineRule="auto"/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Tempo de caminhada semanal (min</w:t>
            </w:r>
            <w:proofErr w:type="gramStart"/>
            <w: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)</w:t>
            </w:r>
            <w:proofErr w:type="gramEnd"/>
            <w: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**</w:t>
            </w:r>
          </w:p>
        </w:tc>
        <w:tc>
          <w:tcPr>
            <w:tcW w:w="1561" w:type="dxa"/>
            <w:shd w:val="clear" w:color="auto" w:fill="FFFFFF"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8"/>
                <w:szCs w:val="16"/>
                <w:lang w:eastAsia="en-US"/>
              </w:rPr>
            </w:pPr>
          </w:p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100 (10 – 360)</w:t>
            </w:r>
          </w:p>
        </w:tc>
        <w:tc>
          <w:tcPr>
            <w:tcW w:w="1559" w:type="dxa"/>
            <w:shd w:val="clear" w:color="auto" w:fill="FFFFFF"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8"/>
                <w:szCs w:val="16"/>
                <w:lang w:eastAsia="en-US"/>
              </w:rPr>
            </w:pPr>
          </w:p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110 (5 – 870)</w:t>
            </w:r>
          </w:p>
        </w:tc>
        <w:tc>
          <w:tcPr>
            <w:tcW w:w="1701" w:type="dxa"/>
            <w:shd w:val="clear" w:color="auto" w:fill="FFFFFF"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8"/>
                <w:szCs w:val="16"/>
                <w:lang w:eastAsia="en-US"/>
              </w:rPr>
            </w:pPr>
          </w:p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95 (10 – 330)</w:t>
            </w:r>
          </w:p>
        </w:tc>
        <w:tc>
          <w:tcPr>
            <w:tcW w:w="992" w:type="dxa"/>
            <w:shd w:val="clear" w:color="auto" w:fill="FFFFFF"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8"/>
                <w:szCs w:val="16"/>
                <w:lang w:eastAsia="en-US"/>
              </w:rPr>
            </w:pPr>
          </w:p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0,897</w:t>
            </w:r>
          </w:p>
        </w:tc>
      </w:tr>
      <w:tr w:rsidR="001250D4" w:rsidTr="001250D4">
        <w:tc>
          <w:tcPr>
            <w:tcW w:w="3401" w:type="dxa"/>
            <w:shd w:val="clear" w:color="auto" w:fill="FFFFFF"/>
          </w:tcPr>
          <w:p w:rsidR="001250D4" w:rsidRDefault="001250D4">
            <w:pPr>
              <w:spacing w:line="480" w:lineRule="auto"/>
              <w:rPr>
                <w:rFonts w:ascii="Arial" w:eastAsia="Calibri" w:hAnsi="Arial" w:cs="Arial"/>
                <w:b/>
                <w:bCs/>
                <w:sz w:val="8"/>
                <w:szCs w:val="16"/>
                <w:lang w:eastAsia="en-US"/>
              </w:rPr>
            </w:pPr>
          </w:p>
          <w:p w:rsidR="001250D4" w:rsidRDefault="001250D4">
            <w:pPr>
              <w:spacing w:line="480" w:lineRule="auto"/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Tempo de atividade moderada semanal **</w:t>
            </w:r>
          </w:p>
        </w:tc>
        <w:tc>
          <w:tcPr>
            <w:tcW w:w="1561" w:type="dxa"/>
            <w:shd w:val="clear" w:color="auto" w:fill="FFFFFF"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8"/>
                <w:szCs w:val="16"/>
                <w:lang w:eastAsia="en-US"/>
              </w:rPr>
            </w:pPr>
          </w:p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120 (60 – 345)</w:t>
            </w:r>
          </w:p>
        </w:tc>
        <w:tc>
          <w:tcPr>
            <w:tcW w:w="1559" w:type="dxa"/>
            <w:shd w:val="clear" w:color="auto" w:fill="FFFFFF"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8"/>
                <w:szCs w:val="16"/>
                <w:lang w:eastAsia="en-US"/>
              </w:rPr>
            </w:pPr>
          </w:p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120 (17,5 – 315)</w:t>
            </w:r>
          </w:p>
        </w:tc>
        <w:tc>
          <w:tcPr>
            <w:tcW w:w="1701" w:type="dxa"/>
            <w:shd w:val="clear" w:color="auto" w:fill="FFFFFF"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8"/>
                <w:szCs w:val="16"/>
                <w:lang w:eastAsia="en-US"/>
              </w:rPr>
            </w:pPr>
          </w:p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120 (60 – 390)</w:t>
            </w:r>
          </w:p>
        </w:tc>
        <w:tc>
          <w:tcPr>
            <w:tcW w:w="992" w:type="dxa"/>
            <w:shd w:val="clear" w:color="auto" w:fill="FFFFFF"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8"/>
                <w:szCs w:val="16"/>
                <w:lang w:eastAsia="en-US"/>
              </w:rPr>
            </w:pPr>
          </w:p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0,294</w:t>
            </w:r>
          </w:p>
        </w:tc>
      </w:tr>
      <w:tr w:rsidR="001250D4" w:rsidTr="001250D4">
        <w:tc>
          <w:tcPr>
            <w:tcW w:w="3401" w:type="dxa"/>
            <w:shd w:val="clear" w:color="auto" w:fill="FFFFFF"/>
          </w:tcPr>
          <w:p w:rsidR="001250D4" w:rsidRDefault="001250D4">
            <w:pPr>
              <w:spacing w:line="480" w:lineRule="auto"/>
              <w:rPr>
                <w:rFonts w:ascii="Arial" w:eastAsia="Calibri" w:hAnsi="Arial" w:cs="Arial"/>
                <w:b/>
                <w:bCs/>
                <w:sz w:val="8"/>
                <w:szCs w:val="16"/>
                <w:lang w:eastAsia="en-US"/>
              </w:rPr>
            </w:pPr>
          </w:p>
          <w:p w:rsidR="001250D4" w:rsidRDefault="001250D4">
            <w:pPr>
              <w:spacing w:line="480" w:lineRule="auto"/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Tempo de atividade vigorosa semanal**</w:t>
            </w:r>
          </w:p>
        </w:tc>
        <w:tc>
          <w:tcPr>
            <w:tcW w:w="1561" w:type="dxa"/>
            <w:shd w:val="clear" w:color="auto" w:fill="FFFFFF"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8"/>
                <w:szCs w:val="16"/>
                <w:lang w:eastAsia="en-US"/>
              </w:rPr>
            </w:pPr>
          </w:p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  <w:proofErr w:type="gramEnd"/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(0 – 45)</w:t>
            </w:r>
          </w:p>
        </w:tc>
        <w:tc>
          <w:tcPr>
            <w:tcW w:w="1559" w:type="dxa"/>
            <w:shd w:val="clear" w:color="auto" w:fill="FFFFFF"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8"/>
                <w:szCs w:val="16"/>
                <w:lang w:eastAsia="en-US"/>
              </w:rPr>
            </w:pPr>
          </w:p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  <w:proofErr w:type="gramEnd"/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(0 – 60)</w:t>
            </w:r>
          </w:p>
        </w:tc>
        <w:tc>
          <w:tcPr>
            <w:tcW w:w="1701" w:type="dxa"/>
            <w:shd w:val="clear" w:color="auto" w:fill="FFFFFF"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8"/>
                <w:szCs w:val="16"/>
                <w:lang w:eastAsia="en-US"/>
              </w:rPr>
            </w:pPr>
          </w:p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  <w:proofErr w:type="gramEnd"/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(0 – 22,5 )</w:t>
            </w:r>
          </w:p>
        </w:tc>
        <w:tc>
          <w:tcPr>
            <w:tcW w:w="992" w:type="dxa"/>
            <w:shd w:val="clear" w:color="auto" w:fill="FFFFFF"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8"/>
                <w:szCs w:val="16"/>
                <w:lang w:eastAsia="en-US"/>
              </w:rPr>
            </w:pPr>
          </w:p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0,388</w:t>
            </w:r>
          </w:p>
        </w:tc>
      </w:tr>
      <w:tr w:rsidR="001250D4" w:rsidTr="001250D4"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250D4" w:rsidRDefault="001250D4">
            <w:pPr>
              <w:spacing w:line="480" w:lineRule="auto"/>
              <w:rPr>
                <w:rFonts w:ascii="Arial" w:eastAsia="Calibri" w:hAnsi="Arial" w:cs="Arial"/>
                <w:b/>
                <w:bCs/>
                <w:sz w:val="8"/>
                <w:szCs w:val="16"/>
                <w:lang w:eastAsia="en-US"/>
              </w:rPr>
            </w:pPr>
          </w:p>
          <w:p w:rsidR="001250D4" w:rsidRDefault="001250D4">
            <w:pPr>
              <w:spacing w:line="480" w:lineRule="auto"/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 xml:space="preserve">Escala Visual </w:t>
            </w:r>
            <w:proofErr w:type="gramStart"/>
            <w: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Analógica/Numérica</w:t>
            </w:r>
            <w:proofErr w:type="gramEnd"/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8"/>
                <w:szCs w:val="16"/>
                <w:lang w:eastAsia="en-US"/>
              </w:rPr>
            </w:pPr>
          </w:p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1</w:t>
            </w:r>
            <w:proofErr w:type="gramEnd"/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(0 – 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8"/>
                <w:szCs w:val="16"/>
                <w:lang w:eastAsia="en-US"/>
              </w:rPr>
            </w:pPr>
          </w:p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  <w:proofErr w:type="gramEnd"/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(0 – 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8"/>
                <w:szCs w:val="16"/>
                <w:lang w:eastAsia="en-US"/>
              </w:rPr>
            </w:pPr>
          </w:p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4</w:t>
            </w:r>
            <w:proofErr w:type="gramEnd"/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(0 – 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8"/>
                <w:szCs w:val="16"/>
                <w:lang w:eastAsia="en-US"/>
              </w:rPr>
            </w:pPr>
          </w:p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0,007*</w:t>
            </w:r>
          </w:p>
        </w:tc>
      </w:tr>
    </w:tbl>
    <w:p w:rsidR="001250D4" w:rsidRDefault="001250D4" w:rsidP="001250D4">
      <w:pPr>
        <w:pStyle w:val="Pargrafo"/>
        <w:tabs>
          <w:tab w:val="left" w:pos="709"/>
        </w:tabs>
        <w:spacing w:line="276" w:lineRule="auto"/>
        <w:ind w:firstLine="0"/>
        <w:rPr>
          <w:sz w:val="16"/>
          <w:szCs w:val="16"/>
        </w:rPr>
      </w:pPr>
      <w:r>
        <w:rPr>
          <w:rFonts w:cs="Arial"/>
          <w:sz w:val="16"/>
          <w:szCs w:val="16"/>
        </w:rPr>
        <w:t xml:space="preserve">IPAQ: questionário de atividade física; AT: ativos e muito ativos; SD: sedentários e irregularmente ativos.  </w:t>
      </w:r>
      <w:r>
        <w:rPr>
          <w:sz w:val="16"/>
          <w:szCs w:val="16"/>
        </w:rPr>
        <w:t xml:space="preserve">MMSS: membros superiores; MMII: membros inferiores. </w:t>
      </w:r>
      <w:r>
        <w:rPr>
          <w:rFonts w:cs="Arial"/>
          <w:sz w:val="16"/>
          <w:szCs w:val="16"/>
        </w:rPr>
        <w:t>Valores expressos em** mediana e intervalos interquartílicos (25 – 75%); * comparação entre médio e grande queimado p&lt;0,05</w:t>
      </w:r>
    </w:p>
    <w:p w:rsidR="001250D4" w:rsidRDefault="001250D4" w:rsidP="001250D4">
      <w:pPr>
        <w:tabs>
          <w:tab w:val="left" w:pos="851"/>
        </w:tabs>
        <w:spacing w:line="360" w:lineRule="auto"/>
        <w:ind w:firstLine="708"/>
        <w:jc w:val="both"/>
      </w:pPr>
    </w:p>
    <w:p w:rsidR="001250D4" w:rsidRDefault="001250D4" w:rsidP="001250D4">
      <w:pPr>
        <w:tabs>
          <w:tab w:val="left" w:pos="851"/>
        </w:tabs>
        <w:spacing w:line="360" w:lineRule="auto"/>
        <w:ind w:firstLine="708"/>
        <w:jc w:val="both"/>
      </w:pPr>
    </w:p>
    <w:p w:rsidR="001250D4" w:rsidRDefault="001250D4" w:rsidP="001250D4">
      <w:pPr>
        <w:pStyle w:val="Pargrafo"/>
        <w:tabs>
          <w:tab w:val="left" w:pos="709"/>
        </w:tabs>
        <w:spacing w:line="36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A Tabela 4 mostra os valores das variáveis do TC6min</w:t>
      </w:r>
      <w:r w:rsidR="009F70E6">
        <w:rPr>
          <w:rFonts w:ascii="Times New Roman" w:hAnsi="Times New Roman"/>
        </w:rPr>
        <w:t>. T</w:t>
      </w:r>
      <w:r>
        <w:rPr>
          <w:rFonts w:ascii="Times New Roman" w:hAnsi="Times New Roman"/>
        </w:rPr>
        <w:t xml:space="preserve">odos os participantes toleraram bem o teste e nenhum deles foi interrompido antes de completar os seis minutos. A média da distância percorrida do TC6min foi de 548 </w:t>
      </w:r>
      <w:r>
        <w:rPr>
          <w:rFonts w:ascii="Times New Roman" w:hAnsi="Times New Roman"/>
          <w:u w:val="single"/>
        </w:rPr>
        <w:t>+</w:t>
      </w:r>
      <w:r>
        <w:rPr>
          <w:rFonts w:ascii="Times New Roman" w:hAnsi="Times New Roman"/>
        </w:rPr>
        <w:t xml:space="preserve"> 60 m</w:t>
      </w:r>
      <w:r w:rsidR="009F70E6">
        <w:rPr>
          <w:rFonts w:ascii="Times New Roman" w:hAnsi="Times New Roman"/>
        </w:rPr>
        <w:t>. A</w:t>
      </w:r>
      <w:r>
        <w:rPr>
          <w:rFonts w:ascii="Times New Roman" w:hAnsi="Times New Roman"/>
        </w:rPr>
        <w:t>penas quatro participantes não atingiram os 80%, sendo três grande</w:t>
      </w:r>
      <w:r w:rsidR="009F70E6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queimados e um médio. Houve uma tendência estatística no desempenho do TC6min entre os grupos (</w:t>
      </w:r>
      <w:r>
        <w:rPr>
          <w:rFonts w:ascii="Times New Roman" w:hAnsi="Times New Roman"/>
          <w:i/>
        </w:rPr>
        <w:t>p</w:t>
      </w:r>
      <w:r>
        <w:rPr>
          <w:rFonts w:ascii="Times New Roman" w:hAnsi="Times New Roman"/>
        </w:rPr>
        <w:t xml:space="preserve">=0,066)  com uma média de 573 </w:t>
      </w:r>
      <w:r>
        <w:rPr>
          <w:rFonts w:ascii="Times New Roman" w:hAnsi="Times New Roman"/>
          <w:u w:val="single"/>
        </w:rPr>
        <w:t>+</w:t>
      </w:r>
      <w:r>
        <w:rPr>
          <w:rFonts w:ascii="Times New Roman" w:hAnsi="Times New Roman"/>
        </w:rPr>
        <w:t xml:space="preserve"> 50 m percorridos para o grupo médio queimado e  539 </w:t>
      </w:r>
      <w:r>
        <w:rPr>
          <w:rFonts w:ascii="Times New Roman" w:hAnsi="Times New Roman"/>
          <w:u w:val="single"/>
        </w:rPr>
        <w:t>+</w:t>
      </w:r>
      <w:r>
        <w:rPr>
          <w:rFonts w:ascii="Times New Roman" w:hAnsi="Times New Roman"/>
        </w:rPr>
        <w:t xml:space="preserve"> 75 m para o grupo grande queimado (Tabela 4).</w:t>
      </w:r>
    </w:p>
    <w:p w:rsidR="001250D4" w:rsidRDefault="001250D4" w:rsidP="001250D4">
      <w:pPr>
        <w:pStyle w:val="Pargrafo"/>
        <w:tabs>
          <w:tab w:val="left" w:pos="709"/>
        </w:tabs>
        <w:spacing w:line="360" w:lineRule="auto"/>
        <w:ind w:firstLine="0"/>
        <w:rPr>
          <w:rFonts w:ascii="Times New Roman" w:hAnsi="Times New Roman"/>
        </w:rPr>
      </w:pPr>
    </w:p>
    <w:p w:rsidR="001250D4" w:rsidRDefault="001250D4" w:rsidP="001250D4">
      <w:pPr>
        <w:pStyle w:val="Pargrafo"/>
        <w:tabs>
          <w:tab w:val="left" w:pos="709"/>
        </w:tabs>
        <w:spacing w:line="360" w:lineRule="auto"/>
        <w:ind w:firstLine="0"/>
        <w:rPr>
          <w:rFonts w:ascii="Times New Roman" w:hAnsi="Times New Roman"/>
        </w:rPr>
      </w:pPr>
    </w:p>
    <w:p w:rsidR="001250D4" w:rsidRDefault="001250D4" w:rsidP="001250D4">
      <w:pPr>
        <w:pStyle w:val="Pargrafo"/>
        <w:tabs>
          <w:tab w:val="left" w:pos="709"/>
        </w:tabs>
        <w:spacing w:line="360" w:lineRule="auto"/>
        <w:ind w:firstLine="0"/>
        <w:rPr>
          <w:rFonts w:ascii="Times New Roman" w:hAnsi="Times New Roman"/>
        </w:rPr>
      </w:pPr>
    </w:p>
    <w:p w:rsidR="001250D4" w:rsidRDefault="001250D4" w:rsidP="00125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Arial" w:hAnsi="Arial" w:cs="Arial"/>
          <w:b/>
          <w:noProof/>
          <w:snapToGrid w:val="0"/>
        </w:rPr>
        <w:sectPr w:rsidR="001250D4">
          <w:pgSz w:w="11906" w:h="16838"/>
          <w:pgMar w:top="1417" w:right="1701" w:bottom="1417" w:left="1701" w:header="708" w:footer="708" w:gutter="0"/>
          <w:cols w:space="720"/>
        </w:sectPr>
      </w:pPr>
    </w:p>
    <w:p w:rsidR="001250D4" w:rsidRDefault="001250D4" w:rsidP="001250D4">
      <w:pPr>
        <w:pStyle w:val="Pargrafo"/>
        <w:tabs>
          <w:tab w:val="left" w:pos="709"/>
        </w:tabs>
        <w:ind w:left="-567" w:firstLine="0"/>
        <w:rPr>
          <w:rFonts w:cs="Arial"/>
          <w:b/>
          <w:sz w:val="15"/>
          <w:szCs w:val="15"/>
        </w:rPr>
      </w:pPr>
      <w:r>
        <w:rPr>
          <w:rFonts w:cs="Arial"/>
          <w:b/>
          <w:szCs w:val="24"/>
        </w:rPr>
        <w:lastRenderedPageBreak/>
        <w:t>Tabela 4</w:t>
      </w:r>
      <w:r w:rsidR="009F70E6"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</w:rPr>
        <w:t>–Dados comparativos do Teste de Caminhada de Seis Minutos (TC6) de acordo com a gravidade das queimaduras dos adultos após alta hospitalar atendidos no CTQ/HU. Londrina/PR, 2014.</w:t>
      </w:r>
    </w:p>
    <w:tbl>
      <w:tblPr>
        <w:tblW w:w="14604" w:type="dxa"/>
        <w:tblInd w:w="-318" w:type="dxa"/>
        <w:tblBorders>
          <w:top w:val="single" w:sz="8" w:space="0" w:color="000000"/>
          <w:bottom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2555"/>
        <w:gridCol w:w="1276"/>
        <w:gridCol w:w="1843"/>
        <w:gridCol w:w="1701"/>
        <w:gridCol w:w="851"/>
        <w:gridCol w:w="1701"/>
        <w:gridCol w:w="1842"/>
        <w:gridCol w:w="1985"/>
        <w:gridCol w:w="850"/>
      </w:tblGrid>
      <w:tr w:rsidR="001250D4" w:rsidTr="001250D4">
        <w:tc>
          <w:tcPr>
            <w:tcW w:w="25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250D4" w:rsidRDefault="001250D4">
            <w:pPr>
              <w:tabs>
                <w:tab w:val="left" w:pos="560"/>
              </w:tabs>
              <w:spacing w:line="480" w:lineRule="auto"/>
              <w:ind w:left="583"/>
              <w:jc w:val="center"/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  <w:lang w:eastAsia="en-US"/>
              </w:rPr>
            </w:pPr>
          </w:p>
          <w:p w:rsidR="001250D4" w:rsidRDefault="001250D4">
            <w:pPr>
              <w:tabs>
                <w:tab w:val="left" w:pos="560"/>
              </w:tabs>
              <w:spacing w:line="480" w:lineRule="auto"/>
              <w:jc w:val="center"/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  <w:lang w:eastAsia="en-US"/>
              </w:rPr>
              <w:t>Variáveis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250D4" w:rsidRDefault="001250D4">
            <w:pPr>
              <w:tabs>
                <w:tab w:val="left" w:pos="560"/>
              </w:tabs>
              <w:spacing w:line="480" w:lineRule="auto"/>
              <w:jc w:val="center"/>
              <w:rPr>
                <w:rFonts w:ascii="Arial" w:eastAsia="Calibri" w:hAnsi="Arial" w:cs="Arial"/>
                <w:b/>
                <w:bCs/>
                <w:noProof/>
                <w:sz w:val="8"/>
                <w:szCs w:val="16"/>
                <w:lang w:eastAsia="en-US"/>
              </w:rPr>
            </w:pPr>
          </w:p>
          <w:p w:rsidR="001250D4" w:rsidRDefault="001250D4">
            <w:pPr>
              <w:tabs>
                <w:tab w:val="left" w:pos="560"/>
              </w:tabs>
              <w:spacing w:line="480" w:lineRule="auto"/>
              <w:jc w:val="center"/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  <w:lang w:eastAsia="en-US"/>
              </w:rPr>
              <w:t>Geral</w:t>
            </w:r>
          </w:p>
          <w:p w:rsidR="001250D4" w:rsidRDefault="001250D4">
            <w:pPr>
              <w:tabs>
                <w:tab w:val="left" w:pos="560"/>
              </w:tabs>
              <w:spacing w:line="480" w:lineRule="auto"/>
              <w:jc w:val="center"/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  <w:lang w:eastAsia="en-US"/>
              </w:rPr>
              <w:t>Inicial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250D4" w:rsidRDefault="001250D4">
            <w:pPr>
              <w:tabs>
                <w:tab w:val="left" w:pos="560"/>
              </w:tabs>
              <w:spacing w:line="480" w:lineRule="auto"/>
              <w:jc w:val="center"/>
              <w:rPr>
                <w:rFonts w:ascii="Arial" w:eastAsia="Calibri" w:hAnsi="Arial" w:cs="Arial"/>
                <w:b/>
                <w:bCs/>
                <w:noProof/>
                <w:sz w:val="8"/>
                <w:szCs w:val="16"/>
                <w:lang w:eastAsia="en-US"/>
              </w:rPr>
            </w:pPr>
          </w:p>
          <w:p w:rsidR="001250D4" w:rsidRDefault="001250D4">
            <w:pPr>
              <w:tabs>
                <w:tab w:val="left" w:pos="560"/>
              </w:tabs>
              <w:spacing w:line="480" w:lineRule="auto"/>
              <w:jc w:val="center"/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  <w:lang w:eastAsia="en-US"/>
              </w:rPr>
              <w:t>Médio Queimado</w:t>
            </w:r>
          </w:p>
          <w:p w:rsidR="001250D4" w:rsidRDefault="001250D4">
            <w:pPr>
              <w:tabs>
                <w:tab w:val="left" w:pos="560"/>
              </w:tabs>
              <w:spacing w:line="480" w:lineRule="auto"/>
              <w:jc w:val="center"/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  <w:lang w:eastAsia="en-US"/>
              </w:rPr>
              <w:t>Inicial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250D4" w:rsidRDefault="001250D4">
            <w:pPr>
              <w:tabs>
                <w:tab w:val="left" w:pos="560"/>
              </w:tabs>
              <w:spacing w:line="480" w:lineRule="auto"/>
              <w:jc w:val="center"/>
              <w:rPr>
                <w:rFonts w:ascii="Arial" w:eastAsia="Calibri" w:hAnsi="Arial" w:cs="Arial"/>
                <w:b/>
                <w:bCs/>
                <w:noProof/>
                <w:sz w:val="8"/>
                <w:szCs w:val="16"/>
                <w:lang w:eastAsia="en-US"/>
              </w:rPr>
            </w:pPr>
          </w:p>
          <w:p w:rsidR="001250D4" w:rsidRDefault="001250D4">
            <w:pPr>
              <w:tabs>
                <w:tab w:val="left" w:pos="560"/>
              </w:tabs>
              <w:spacing w:line="480" w:lineRule="auto"/>
              <w:jc w:val="center"/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  <w:lang w:eastAsia="en-US"/>
              </w:rPr>
              <w:t>Grande Queimado</w:t>
            </w:r>
          </w:p>
          <w:p w:rsidR="001250D4" w:rsidRDefault="001250D4">
            <w:pPr>
              <w:tabs>
                <w:tab w:val="left" w:pos="560"/>
              </w:tabs>
              <w:spacing w:line="480" w:lineRule="auto"/>
              <w:jc w:val="center"/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  <w:lang w:eastAsia="en-US"/>
              </w:rPr>
              <w:t>Inicial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250D4" w:rsidRDefault="001250D4">
            <w:pPr>
              <w:tabs>
                <w:tab w:val="left" w:pos="560"/>
              </w:tabs>
              <w:spacing w:line="480" w:lineRule="auto"/>
              <w:jc w:val="center"/>
              <w:rPr>
                <w:rFonts w:ascii="Arial" w:eastAsia="Calibri" w:hAnsi="Arial" w:cs="Arial"/>
                <w:b/>
                <w:bCs/>
                <w:i/>
                <w:noProof/>
                <w:sz w:val="16"/>
                <w:szCs w:val="16"/>
                <w:lang w:eastAsia="en-US"/>
              </w:rPr>
            </w:pPr>
          </w:p>
          <w:p w:rsidR="001250D4" w:rsidRDefault="001250D4">
            <w:pPr>
              <w:tabs>
                <w:tab w:val="left" w:pos="560"/>
              </w:tabs>
              <w:spacing w:line="480" w:lineRule="auto"/>
              <w:jc w:val="center"/>
              <w:rPr>
                <w:rFonts w:ascii="Arial" w:eastAsia="Calibri" w:hAnsi="Arial" w:cs="Arial"/>
                <w:b/>
                <w:bCs/>
                <w:i/>
                <w:noProof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i/>
                <w:noProof/>
                <w:sz w:val="16"/>
                <w:szCs w:val="16"/>
                <w:lang w:eastAsia="en-US"/>
              </w:rPr>
              <w:t>p*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250D4" w:rsidRDefault="001250D4">
            <w:pPr>
              <w:tabs>
                <w:tab w:val="left" w:pos="560"/>
              </w:tabs>
              <w:spacing w:line="480" w:lineRule="auto"/>
              <w:jc w:val="center"/>
              <w:rPr>
                <w:rFonts w:ascii="Arial" w:eastAsia="Calibri" w:hAnsi="Arial" w:cs="Arial"/>
                <w:b/>
                <w:bCs/>
                <w:noProof/>
                <w:sz w:val="8"/>
                <w:szCs w:val="16"/>
                <w:lang w:eastAsia="en-US"/>
              </w:rPr>
            </w:pPr>
          </w:p>
          <w:p w:rsidR="001250D4" w:rsidRDefault="001250D4">
            <w:pPr>
              <w:tabs>
                <w:tab w:val="left" w:pos="560"/>
              </w:tabs>
              <w:spacing w:line="480" w:lineRule="auto"/>
              <w:jc w:val="center"/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  <w:lang w:eastAsia="en-US"/>
              </w:rPr>
              <w:t>Geral</w:t>
            </w:r>
          </w:p>
          <w:p w:rsidR="001250D4" w:rsidRDefault="001250D4">
            <w:pPr>
              <w:tabs>
                <w:tab w:val="left" w:pos="560"/>
              </w:tabs>
              <w:spacing w:line="480" w:lineRule="auto"/>
              <w:jc w:val="center"/>
              <w:rPr>
                <w:rFonts w:ascii="Arial" w:eastAsia="Calibri" w:hAnsi="Arial" w:cs="Arial"/>
                <w:b/>
                <w:bCs/>
                <w:noProof/>
                <w:sz w:val="8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  <w:lang w:eastAsia="en-US"/>
              </w:rPr>
              <w:t xml:space="preserve"> Final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250D4" w:rsidRDefault="001250D4">
            <w:pPr>
              <w:tabs>
                <w:tab w:val="left" w:pos="560"/>
              </w:tabs>
              <w:spacing w:line="480" w:lineRule="auto"/>
              <w:jc w:val="center"/>
              <w:rPr>
                <w:rFonts w:ascii="Arial" w:eastAsia="Calibri" w:hAnsi="Arial" w:cs="Arial"/>
                <w:b/>
                <w:bCs/>
                <w:noProof/>
                <w:sz w:val="8"/>
                <w:szCs w:val="16"/>
                <w:lang w:eastAsia="en-US"/>
              </w:rPr>
            </w:pPr>
          </w:p>
          <w:p w:rsidR="001250D4" w:rsidRDefault="001250D4">
            <w:pPr>
              <w:tabs>
                <w:tab w:val="left" w:pos="560"/>
              </w:tabs>
              <w:spacing w:line="480" w:lineRule="auto"/>
              <w:jc w:val="center"/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  <w:lang w:eastAsia="en-US"/>
              </w:rPr>
              <w:t>Médio Queimado</w:t>
            </w:r>
          </w:p>
          <w:p w:rsidR="001250D4" w:rsidRDefault="001250D4">
            <w:pPr>
              <w:tabs>
                <w:tab w:val="left" w:pos="560"/>
              </w:tabs>
              <w:spacing w:line="480" w:lineRule="auto"/>
              <w:jc w:val="center"/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  <w:lang w:eastAsia="en-US"/>
              </w:rPr>
              <w:t>Final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250D4" w:rsidRDefault="001250D4">
            <w:pPr>
              <w:tabs>
                <w:tab w:val="left" w:pos="560"/>
              </w:tabs>
              <w:spacing w:line="480" w:lineRule="auto"/>
              <w:jc w:val="center"/>
              <w:rPr>
                <w:rFonts w:ascii="Arial" w:eastAsia="Calibri" w:hAnsi="Arial" w:cs="Arial"/>
                <w:b/>
                <w:bCs/>
                <w:noProof/>
                <w:sz w:val="8"/>
                <w:szCs w:val="16"/>
                <w:lang w:eastAsia="en-US"/>
              </w:rPr>
            </w:pPr>
          </w:p>
          <w:p w:rsidR="001250D4" w:rsidRDefault="001250D4">
            <w:pPr>
              <w:tabs>
                <w:tab w:val="left" w:pos="560"/>
              </w:tabs>
              <w:spacing w:line="480" w:lineRule="auto"/>
              <w:jc w:val="center"/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  <w:lang w:eastAsia="en-US"/>
              </w:rPr>
              <w:t>Grande Queimado</w:t>
            </w:r>
          </w:p>
          <w:p w:rsidR="001250D4" w:rsidRDefault="001250D4">
            <w:pPr>
              <w:tabs>
                <w:tab w:val="left" w:pos="560"/>
              </w:tabs>
              <w:spacing w:line="480" w:lineRule="auto"/>
              <w:jc w:val="center"/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noProof/>
                <w:sz w:val="16"/>
                <w:szCs w:val="16"/>
                <w:lang w:eastAsia="en-US"/>
              </w:rPr>
              <w:t>Final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250D4" w:rsidRDefault="001250D4">
            <w:pPr>
              <w:tabs>
                <w:tab w:val="left" w:pos="560"/>
              </w:tabs>
              <w:spacing w:line="480" w:lineRule="auto"/>
              <w:jc w:val="center"/>
              <w:rPr>
                <w:rFonts w:ascii="Arial" w:eastAsia="Calibri" w:hAnsi="Arial" w:cs="Arial"/>
                <w:b/>
                <w:bCs/>
                <w:i/>
                <w:noProof/>
                <w:sz w:val="16"/>
                <w:szCs w:val="16"/>
                <w:lang w:eastAsia="en-US"/>
              </w:rPr>
            </w:pPr>
          </w:p>
          <w:p w:rsidR="001250D4" w:rsidRDefault="001250D4">
            <w:pPr>
              <w:tabs>
                <w:tab w:val="left" w:pos="560"/>
              </w:tabs>
              <w:spacing w:line="480" w:lineRule="auto"/>
              <w:jc w:val="center"/>
              <w:rPr>
                <w:rFonts w:ascii="Arial" w:eastAsia="Calibri" w:hAnsi="Arial" w:cs="Arial"/>
                <w:b/>
                <w:bCs/>
                <w:i/>
                <w:noProof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i/>
                <w:noProof/>
                <w:sz w:val="16"/>
                <w:szCs w:val="16"/>
                <w:lang w:eastAsia="en-US"/>
              </w:rPr>
              <w:t>p*</w:t>
            </w:r>
          </w:p>
        </w:tc>
      </w:tr>
      <w:tr w:rsidR="001250D4" w:rsidTr="001250D4">
        <w:tc>
          <w:tcPr>
            <w:tcW w:w="2553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SpO</w:t>
            </w:r>
            <w:r>
              <w:rPr>
                <w:rFonts w:ascii="Arial" w:eastAsia="Calibri" w:hAnsi="Arial" w:cs="Arial"/>
                <w:sz w:val="16"/>
                <w:szCs w:val="16"/>
                <w:vertAlign w:val="subscript"/>
                <w:lang w:eastAsia="en-US"/>
              </w:rPr>
              <w:t>2</w:t>
            </w:r>
            <w:proofErr w:type="gramEnd"/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, %**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98 (97 – 99)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98 (96 – 99)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98 (97 – 99)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0,348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98 (97 – 99)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97 (96 – 98)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99 (98 – 99)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0,0001*</w:t>
            </w:r>
          </w:p>
        </w:tc>
      </w:tr>
      <w:tr w:rsidR="001250D4" w:rsidTr="001250D4"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lgerian" w:eastAsia="Calibri" w:hAnsi="Algerian" w:cs="Arial"/>
                <w:sz w:val="16"/>
                <w:szCs w:val="16"/>
                <w:lang w:eastAsia="en-US"/>
              </w:rPr>
              <w:t>∆</w:t>
            </w:r>
            <w:proofErr w:type="gramStart"/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SpO</w:t>
            </w:r>
            <w:r>
              <w:rPr>
                <w:rFonts w:ascii="Arial" w:eastAsia="Calibri" w:hAnsi="Arial" w:cs="Arial"/>
                <w:sz w:val="16"/>
                <w:szCs w:val="16"/>
                <w:vertAlign w:val="subscript"/>
                <w:lang w:eastAsia="en-US"/>
              </w:rPr>
              <w:t>2</w:t>
            </w:r>
            <w:proofErr w:type="gramEnd"/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, 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  <w:proofErr w:type="gramEnd"/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(-1 – 1)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-0,5 (-1 – 0)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  <w:proofErr w:type="gramEnd"/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(0 - 1)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0,061</w:t>
            </w:r>
          </w:p>
        </w:tc>
      </w:tr>
      <w:tr w:rsidR="001250D4" w:rsidTr="001250D4"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rPr>
                <w:rFonts w:ascii="Arial" w:eastAsia="Calibri" w:hAnsi="Arial" w:cs="Arial"/>
                <w:sz w:val="16"/>
                <w:szCs w:val="16"/>
                <w:vertAlign w:val="superscript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FC,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bpm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vertAlign w:val="superscript"/>
                <w:lang w:eastAsia="en-US"/>
              </w:rPr>
              <w:sym w:font="Wingdings" w:char="F0CB"/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76 </w:t>
            </w:r>
            <w:r>
              <w:rPr>
                <w:rFonts w:ascii="Arial" w:eastAsia="Calibri" w:hAnsi="Arial" w:cs="Arial"/>
                <w:sz w:val="16"/>
                <w:szCs w:val="16"/>
                <w:u w:val="single"/>
                <w:lang w:eastAsia="en-US"/>
              </w:rPr>
              <w:t>+</w:t>
            </w: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76,5 </w:t>
            </w:r>
            <w:r>
              <w:rPr>
                <w:rFonts w:ascii="Arial" w:eastAsia="Calibri" w:hAnsi="Arial" w:cs="Arial"/>
                <w:sz w:val="16"/>
                <w:szCs w:val="16"/>
                <w:u w:val="single"/>
                <w:lang w:eastAsia="en-US"/>
              </w:rPr>
              <w:t>+</w:t>
            </w: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11,08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u w:val="single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76,42</w:t>
            </w:r>
            <w:r>
              <w:rPr>
                <w:rFonts w:ascii="Arial" w:eastAsia="Calibri" w:hAnsi="Arial" w:cs="Arial"/>
                <w:sz w:val="16"/>
                <w:szCs w:val="16"/>
                <w:u w:val="single"/>
                <w:lang w:eastAsia="en-US"/>
              </w:rPr>
              <w:t>+</w:t>
            </w: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13,39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0,982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u w:val="single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88 </w:t>
            </w:r>
            <w:r>
              <w:rPr>
                <w:rFonts w:ascii="Arial" w:eastAsia="Calibri" w:hAnsi="Arial" w:cs="Arial"/>
                <w:sz w:val="16"/>
                <w:szCs w:val="16"/>
                <w:u w:val="single"/>
                <w:lang w:eastAsia="en-US"/>
              </w:rPr>
              <w:t>+</w:t>
            </w: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16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92,44 </w:t>
            </w:r>
            <w:r>
              <w:rPr>
                <w:rFonts w:ascii="Arial" w:eastAsia="Calibri" w:hAnsi="Arial" w:cs="Arial"/>
                <w:sz w:val="16"/>
                <w:szCs w:val="16"/>
                <w:u w:val="single"/>
                <w:lang w:eastAsia="en-US"/>
              </w:rPr>
              <w:t>+</w:t>
            </w: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15,28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89,47</w:t>
            </w:r>
            <w:r>
              <w:rPr>
                <w:rFonts w:ascii="Arial" w:eastAsia="Calibri" w:hAnsi="Arial" w:cs="Arial"/>
                <w:sz w:val="16"/>
                <w:szCs w:val="16"/>
                <w:u w:val="single"/>
                <w:lang w:eastAsia="en-US"/>
              </w:rPr>
              <w:t>+</w:t>
            </w: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19,85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0,590</w:t>
            </w:r>
          </w:p>
        </w:tc>
      </w:tr>
      <w:tr w:rsidR="001250D4" w:rsidTr="001250D4"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lgerian" w:eastAsia="Calibri" w:hAnsi="Algerian" w:cs="Arial"/>
                <w:sz w:val="16"/>
                <w:szCs w:val="16"/>
                <w:lang w:eastAsia="en-US"/>
              </w:rPr>
              <w:t>∆</w:t>
            </w: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FC,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bpm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**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10 (5 – 21)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15,5 (7,5 – 26,75)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10 (4 – 21)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0,159</w:t>
            </w:r>
          </w:p>
        </w:tc>
      </w:tr>
      <w:tr w:rsidR="001250D4" w:rsidTr="001250D4"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Escala de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Borg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para dispneia**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  <w:proofErr w:type="gramEnd"/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(0 - 0)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  <w:proofErr w:type="gramEnd"/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(0 - 0)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  <w:proofErr w:type="gramEnd"/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(0 - 0)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0,532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  <w:proofErr w:type="gramEnd"/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(0 – 2)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0,5 (0 - 2)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0,5 (0– 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0,670</w:t>
            </w:r>
          </w:p>
        </w:tc>
      </w:tr>
      <w:tr w:rsidR="001250D4" w:rsidTr="001250D4"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lgerian" w:eastAsia="Calibri" w:hAnsi="Algerian" w:cs="Arial"/>
                <w:sz w:val="16"/>
                <w:szCs w:val="16"/>
                <w:lang w:eastAsia="en-US"/>
              </w:rPr>
              <w:t xml:space="preserve">∆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Borgdipneia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  <w:proofErr w:type="gramEnd"/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(0 – 2)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0,25 (0 – 1,75)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0,5 (0 – 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0,521</w:t>
            </w:r>
          </w:p>
        </w:tc>
      </w:tr>
      <w:tr w:rsidR="001250D4" w:rsidTr="001250D4"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Escala de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Borg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para fadiga**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  <w:proofErr w:type="gramEnd"/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(0 - 0)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  <w:proofErr w:type="gramEnd"/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(0 - 0)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  <w:proofErr w:type="gramEnd"/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(0 - 0)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0,409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0,5 (0 – 3)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1,25 (0 – 3)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1,25 (0 – 3)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0,828</w:t>
            </w:r>
          </w:p>
        </w:tc>
      </w:tr>
      <w:tr w:rsidR="001250D4" w:rsidTr="001250D4"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lgerian" w:eastAsia="Calibri" w:hAnsi="Algerian" w:cs="Arial"/>
                <w:sz w:val="16"/>
                <w:szCs w:val="16"/>
                <w:lang w:eastAsia="en-US"/>
              </w:rPr>
              <w:t xml:space="preserve">∆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Borg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fadiga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0,5 (0 – 2)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0,25 (0 – 2,75)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0,5 (0 – 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0,749</w:t>
            </w:r>
          </w:p>
        </w:tc>
      </w:tr>
      <w:tr w:rsidR="001250D4" w:rsidTr="001250D4"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PA sistólica, </w:t>
            </w:r>
            <w:proofErr w:type="gramStart"/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mmHg</w:t>
            </w:r>
            <w:proofErr w:type="gramEnd"/>
            <w:r>
              <w:rPr>
                <w:rFonts w:ascii="Arial" w:eastAsia="Calibri" w:hAnsi="Arial" w:cs="Arial"/>
                <w:sz w:val="16"/>
                <w:szCs w:val="16"/>
                <w:vertAlign w:val="superscript"/>
                <w:lang w:eastAsia="en-US"/>
              </w:rPr>
              <w:sym w:font="Wingdings" w:char="F0CB"/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127 </w:t>
            </w:r>
            <w:r>
              <w:rPr>
                <w:rFonts w:ascii="Arial" w:eastAsia="Calibri" w:hAnsi="Arial" w:cs="Arial"/>
                <w:sz w:val="16"/>
                <w:szCs w:val="16"/>
                <w:u w:val="single"/>
                <w:lang w:eastAsia="en-US"/>
              </w:rPr>
              <w:t>+</w:t>
            </w: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121 </w:t>
            </w:r>
            <w:r>
              <w:rPr>
                <w:rFonts w:ascii="Arial" w:eastAsia="Calibri" w:hAnsi="Arial" w:cs="Arial"/>
                <w:sz w:val="16"/>
                <w:szCs w:val="16"/>
                <w:u w:val="single"/>
                <w:lang w:eastAsia="en-US"/>
              </w:rPr>
              <w:t>+</w:t>
            </w: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127</w:t>
            </w:r>
            <w:r>
              <w:rPr>
                <w:rFonts w:ascii="Arial" w:eastAsia="Calibri" w:hAnsi="Arial" w:cs="Arial"/>
                <w:sz w:val="16"/>
                <w:szCs w:val="16"/>
                <w:u w:val="single"/>
                <w:lang w:eastAsia="en-US"/>
              </w:rPr>
              <w:t>+</w:t>
            </w: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0,105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134 </w:t>
            </w:r>
            <w:r>
              <w:rPr>
                <w:rFonts w:ascii="Arial" w:eastAsia="Calibri" w:hAnsi="Arial" w:cs="Arial"/>
                <w:sz w:val="16"/>
                <w:szCs w:val="16"/>
                <w:u w:val="single"/>
                <w:lang w:eastAsia="en-US"/>
              </w:rPr>
              <w:t>+</w:t>
            </w: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16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126 </w:t>
            </w:r>
            <w:r>
              <w:rPr>
                <w:rFonts w:ascii="Arial" w:eastAsia="Calibri" w:hAnsi="Arial" w:cs="Arial"/>
                <w:sz w:val="16"/>
                <w:szCs w:val="16"/>
                <w:u w:val="single"/>
                <w:lang w:eastAsia="en-US"/>
              </w:rPr>
              <w:t>+</w:t>
            </w: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14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136 </w:t>
            </w:r>
            <w:r>
              <w:rPr>
                <w:rFonts w:ascii="Arial" w:eastAsia="Calibri" w:hAnsi="Arial" w:cs="Arial"/>
                <w:sz w:val="16"/>
                <w:szCs w:val="16"/>
                <w:u w:val="single"/>
                <w:lang w:eastAsia="en-US"/>
              </w:rPr>
              <w:t>+</w:t>
            </w: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0,038*</w:t>
            </w:r>
          </w:p>
        </w:tc>
      </w:tr>
      <w:tr w:rsidR="001250D4" w:rsidTr="001250D4"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lgerian" w:eastAsia="Calibri" w:hAnsi="Algerian" w:cs="Arial"/>
                <w:sz w:val="16"/>
                <w:szCs w:val="16"/>
                <w:lang w:eastAsia="en-US"/>
              </w:rPr>
              <w:t xml:space="preserve">∆ </w:t>
            </w: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PA sistólica, </w:t>
            </w:r>
            <w:proofErr w:type="gramStart"/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mmHg</w:t>
            </w:r>
            <w:proofErr w:type="gramEnd"/>
            <w:r>
              <w:rPr>
                <w:rFonts w:ascii="Arial" w:eastAsia="Calibri" w:hAnsi="Arial" w:cs="Arial"/>
                <w:sz w:val="16"/>
                <w:szCs w:val="16"/>
                <w:vertAlign w:val="superscript"/>
                <w:lang w:eastAsia="en-US"/>
              </w:rPr>
              <w:sym w:font="Wingdings" w:char="F0CB"/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8</w:t>
            </w:r>
            <w:proofErr w:type="gramEnd"/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(-1 – 16)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4</w:t>
            </w:r>
            <w:proofErr w:type="gramEnd"/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(0 – 10)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10 (-3 – 17)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0,261</w:t>
            </w:r>
          </w:p>
        </w:tc>
      </w:tr>
      <w:tr w:rsidR="001250D4" w:rsidTr="001250D4"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PA diastólica, </w:t>
            </w:r>
            <w:proofErr w:type="gramStart"/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mmHg</w:t>
            </w:r>
            <w:proofErr w:type="gramEnd"/>
            <w:r>
              <w:rPr>
                <w:rFonts w:ascii="Arial" w:eastAsia="Calibri" w:hAnsi="Arial" w:cs="Arial"/>
                <w:sz w:val="16"/>
                <w:szCs w:val="16"/>
                <w:vertAlign w:val="superscript"/>
                <w:lang w:eastAsia="en-US"/>
              </w:rPr>
              <w:sym w:font="Wingdings" w:char="F0CB"/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79 </w:t>
            </w:r>
            <w:r>
              <w:rPr>
                <w:rFonts w:ascii="Arial" w:eastAsia="Calibri" w:hAnsi="Arial" w:cs="Arial"/>
                <w:sz w:val="16"/>
                <w:szCs w:val="16"/>
                <w:u w:val="single"/>
                <w:lang w:eastAsia="en-US"/>
              </w:rPr>
              <w:t>+</w:t>
            </w: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73 </w:t>
            </w:r>
            <w:r>
              <w:rPr>
                <w:rFonts w:ascii="Arial" w:eastAsia="Calibri" w:hAnsi="Arial" w:cs="Arial"/>
                <w:sz w:val="16"/>
                <w:szCs w:val="16"/>
                <w:u w:val="single"/>
                <w:lang w:eastAsia="en-US"/>
              </w:rPr>
              <w:t>+</w:t>
            </w: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80 </w:t>
            </w:r>
            <w:r>
              <w:rPr>
                <w:rFonts w:ascii="Arial" w:eastAsia="Calibri" w:hAnsi="Arial" w:cs="Arial"/>
                <w:sz w:val="16"/>
                <w:szCs w:val="16"/>
                <w:u w:val="single"/>
                <w:lang w:eastAsia="en-US"/>
              </w:rPr>
              <w:t>+</w:t>
            </w: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0,018*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81 </w:t>
            </w:r>
            <w:r>
              <w:rPr>
                <w:rFonts w:ascii="Arial" w:eastAsia="Calibri" w:hAnsi="Arial" w:cs="Arial"/>
                <w:sz w:val="16"/>
                <w:szCs w:val="16"/>
                <w:u w:val="single"/>
                <w:lang w:eastAsia="en-US"/>
              </w:rPr>
              <w:t>+</w:t>
            </w: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11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74 </w:t>
            </w:r>
            <w:r>
              <w:rPr>
                <w:rFonts w:ascii="Arial" w:eastAsia="Calibri" w:hAnsi="Arial" w:cs="Arial"/>
                <w:sz w:val="16"/>
                <w:szCs w:val="16"/>
                <w:u w:val="single"/>
                <w:lang w:eastAsia="en-US"/>
              </w:rPr>
              <w:t>+</w:t>
            </w: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83 </w:t>
            </w:r>
            <w:r>
              <w:rPr>
                <w:rFonts w:ascii="Arial" w:eastAsia="Calibri" w:hAnsi="Arial" w:cs="Arial"/>
                <w:sz w:val="16"/>
                <w:szCs w:val="16"/>
                <w:u w:val="single"/>
                <w:lang w:eastAsia="en-US"/>
              </w:rPr>
              <w:t>+</w:t>
            </w: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0,011*</w:t>
            </w:r>
          </w:p>
        </w:tc>
      </w:tr>
      <w:tr w:rsidR="001250D4" w:rsidTr="001250D4"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lgerian" w:eastAsia="Calibri" w:hAnsi="Algerian" w:cs="Arial"/>
                <w:sz w:val="16"/>
                <w:szCs w:val="16"/>
                <w:lang w:eastAsia="en-US"/>
              </w:rPr>
              <w:t xml:space="preserve">∆ </w:t>
            </w: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PA diastólica, </w:t>
            </w:r>
            <w:proofErr w:type="gramStart"/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mmHg</w:t>
            </w:r>
            <w:proofErr w:type="gramEnd"/>
            <w:r>
              <w:rPr>
                <w:rFonts w:ascii="Arial" w:eastAsia="Calibri" w:hAnsi="Arial" w:cs="Arial"/>
                <w:sz w:val="16"/>
                <w:szCs w:val="16"/>
                <w:vertAlign w:val="superscript"/>
                <w:lang w:eastAsia="en-US"/>
              </w:rPr>
              <w:sym w:font="Wingdings" w:char="F0CB"/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3</w:t>
            </w:r>
            <w:proofErr w:type="gramEnd"/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(-2 – 8)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  <w:proofErr w:type="gramEnd"/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(-2,75 – 7,25)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4</w:t>
            </w:r>
            <w:proofErr w:type="gramEnd"/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(-2 – 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0,246</w:t>
            </w:r>
          </w:p>
        </w:tc>
      </w:tr>
      <w:tr w:rsidR="001250D4" w:rsidTr="001250D4"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DP6 min máxima, m</w:t>
            </w:r>
            <w:r>
              <w:rPr>
                <w:rFonts w:ascii="Arial" w:eastAsia="Calibri" w:hAnsi="Arial" w:cs="Arial"/>
                <w:sz w:val="16"/>
                <w:szCs w:val="16"/>
                <w:vertAlign w:val="superscript"/>
                <w:lang w:eastAsia="en-US"/>
              </w:rPr>
              <w:sym w:font="Wingdings" w:char="F0CB"/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548</w:t>
            </w:r>
            <w:r>
              <w:rPr>
                <w:rFonts w:ascii="Arial" w:eastAsia="Calibri" w:hAnsi="Arial" w:cs="Arial"/>
                <w:sz w:val="16"/>
                <w:szCs w:val="16"/>
                <w:u w:val="single"/>
                <w:lang w:eastAsia="en-US"/>
              </w:rPr>
              <w:t>+</w:t>
            </w: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63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573 </w:t>
            </w:r>
            <w:r>
              <w:rPr>
                <w:rFonts w:ascii="Arial" w:eastAsia="Calibri" w:hAnsi="Arial" w:cs="Arial"/>
                <w:sz w:val="16"/>
                <w:szCs w:val="16"/>
                <w:u w:val="single"/>
                <w:lang w:eastAsia="en-US"/>
              </w:rPr>
              <w:t>+</w:t>
            </w: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50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539</w:t>
            </w:r>
            <w:r>
              <w:rPr>
                <w:rFonts w:ascii="Arial" w:eastAsia="Calibri" w:hAnsi="Arial" w:cs="Arial"/>
                <w:sz w:val="16"/>
                <w:szCs w:val="16"/>
                <w:u w:val="single"/>
                <w:lang w:eastAsia="en-US"/>
              </w:rPr>
              <w:t>+</w:t>
            </w: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0,066</w:t>
            </w:r>
          </w:p>
        </w:tc>
      </w:tr>
      <w:tr w:rsidR="001250D4" w:rsidTr="001250D4">
        <w:tc>
          <w:tcPr>
            <w:tcW w:w="2553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1250D4" w:rsidRDefault="001250D4">
            <w:pPr>
              <w:spacing w:line="48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% distância predita</w:t>
            </w:r>
            <w:r>
              <w:rPr>
                <w:rFonts w:ascii="Arial" w:eastAsia="Calibri" w:hAnsi="Arial" w:cs="Arial"/>
                <w:sz w:val="16"/>
                <w:szCs w:val="16"/>
                <w:vertAlign w:val="superscript"/>
                <w:lang w:eastAsia="en-US"/>
              </w:rPr>
              <w:sym w:font="Wingdings" w:char="F0CB"/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91 </w:t>
            </w:r>
            <w:r>
              <w:rPr>
                <w:rFonts w:ascii="Arial" w:eastAsia="Calibri" w:hAnsi="Arial" w:cs="Arial"/>
                <w:sz w:val="16"/>
                <w:szCs w:val="16"/>
                <w:u w:val="single"/>
                <w:lang w:eastAsia="en-US"/>
              </w:rPr>
              <w:t>+</w:t>
            </w: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93 </w:t>
            </w:r>
            <w:r>
              <w:rPr>
                <w:rFonts w:ascii="Arial" w:eastAsia="Calibri" w:hAnsi="Arial" w:cs="Arial"/>
                <w:sz w:val="16"/>
                <w:szCs w:val="16"/>
                <w:u w:val="single"/>
                <w:lang w:eastAsia="en-US"/>
              </w:rPr>
              <w:t>+</w:t>
            </w: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91 </w:t>
            </w:r>
            <w:r>
              <w:rPr>
                <w:rFonts w:ascii="Arial" w:eastAsia="Calibri" w:hAnsi="Arial" w:cs="Arial"/>
                <w:sz w:val="16"/>
                <w:szCs w:val="16"/>
                <w:u w:val="single"/>
                <w:lang w:eastAsia="en-US"/>
              </w:rPr>
              <w:t>+</w:t>
            </w: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1250D4" w:rsidRDefault="001250D4">
            <w:pPr>
              <w:spacing w:line="48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0,447</w:t>
            </w:r>
          </w:p>
        </w:tc>
      </w:tr>
    </w:tbl>
    <w:p w:rsidR="001250D4" w:rsidRDefault="001250D4" w:rsidP="00125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left="-426"/>
        <w:jc w:val="both"/>
        <w:rPr>
          <w:rFonts w:ascii="Arial" w:eastAsia="Calibri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SpO</w:t>
      </w:r>
      <w:r>
        <w:rPr>
          <w:rFonts w:ascii="Arial" w:hAnsi="Arial" w:cs="Arial"/>
          <w:sz w:val="16"/>
          <w:szCs w:val="16"/>
          <w:vertAlign w:val="subscript"/>
        </w:rPr>
        <w:t>2</w:t>
      </w:r>
      <w:proofErr w:type="gramEnd"/>
      <w:r>
        <w:rPr>
          <w:rFonts w:ascii="Arial" w:hAnsi="Arial" w:cs="Arial"/>
          <w:sz w:val="16"/>
          <w:szCs w:val="16"/>
        </w:rPr>
        <w:t xml:space="preserve">: saturação periférica de oxigênio; FC: frequência cardíaca; PA: pressão arterial; DP6 min: distância percorrida no teste de caminhada de seis minutos. Valores expressos em </w:t>
      </w:r>
      <w:r>
        <w:rPr>
          <w:rFonts w:ascii="Arial" w:hAnsi="Arial" w:cs="Arial"/>
          <w:sz w:val="16"/>
          <w:szCs w:val="16"/>
          <w:vertAlign w:val="superscript"/>
        </w:rPr>
        <w:sym w:font="Wingdings" w:char="F0CB"/>
      </w:r>
      <w:r>
        <w:rPr>
          <w:rFonts w:ascii="Arial" w:hAnsi="Arial" w:cs="Arial"/>
          <w:sz w:val="16"/>
          <w:szCs w:val="16"/>
        </w:rPr>
        <w:t xml:space="preserve"> média e desvio</w:t>
      </w:r>
      <w:r w:rsidR="009F70E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padrão;** mediana e intervalos interquartílicos (25 – 75%); * comparação entre médio e grande queimado p&lt; </w:t>
      </w:r>
      <w:proofErr w:type="gramStart"/>
      <w:r>
        <w:rPr>
          <w:rFonts w:ascii="Arial" w:hAnsi="Arial" w:cs="Arial"/>
          <w:sz w:val="16"/>
          <w:szCs w:val="16"/>
        </w:rPr>
        <w:t>0,05</w:t>
      </w:r>
      <w:proofErr w:type="gramEnd"/>
    </w:p>
    <w:p w:rsidR="001250D4" w:rsidRDefault="001250D4" w:rsidP="00125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noProof/>
          <w:snapToGrid w:val="0"/>
          <w:szCs w:val="20"/>
        </w:rPr>
        <w:sectPr w:rsidR="001250D4">
          <w:pgSz w:w="16838" w:h="11906" w:orient="landscape"/>
          <w:pgMar w:top="1701" w:right="1418" w:bottom="1701" w:left="1418" w:header="709" w:footer="709" w:gutter="0"/>
          <w:cols w:space="720"/>
        </w:sectPr>
      </w:pPr>
    </w:p>
    <w:p w:rsidR="001250D4" w:rsidRDefault="001250D4" w:rsidP="001250D4">
      <w:pPr>
        <w:pStyle w:val="Pargrafo"/>
        <w:tabs>
          <w:tab w:val="left" w:pos="709"/>
        </w:tabs>
        <w:spacing w:line="360" w:lineRule="auto"/>
        <w:ind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DISCUSSÃO</w:t>
      </w:r>
    </w:p>
    <w:p w:rsidR="001250D4" w:rsidRDefault="001250D4" w:rsidP="001250D4">
      <w:pPr>
        <w:pStyle w:val="Pargrafo"/>
        <w:tabs>
          <w:tab w:val="left" w:pos="851"/>
        </w:tabs>
        <w:spacing w:line="276" w:lineRule="auto"/>
        <w:ind w:firstLine="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</w:p>
    <w:p w:rsidR="001250D4" w:rsidRDefault="001250D4" w:rsidP="001250D4">
      <w:pPr>
        <w:pStyle w:val="Pargrafo"/>
        <w:tabs>
          <w:tab w:val="left" w:pos="851"/>
        </w:tabs>
        <w:spacing w:line="276" w:lineRule="auto"/>
        <w:ind w:firstLine="0"/>
        <w:rPr>
          <w:rFonts w:ascii="Times New Roman" w:hAnsi="Times New Roman"/>
        </w:rPr>
      </w:pPr>
    </w:p>
    <w:p w:rsidR="001250D4" w:rsidRDefault="001250D4" w:rsidP="001250D4">
      <w:pPr>
        <w:pStyle w:val="Pargrafo"/>
        <w:tabs>
          <w:tab w:val="left" w:pos="851"/>
        </w:tabs>
        <w:spacing w:line="36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Este estudo avaliou a capacidade aeróbica, o nível de atividade física e </w:t>
      </w:r>
      <w:r w:rsidR="009F70E6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>dor após alta hospitalar</w:t>
      </w:r>
      <w:r w:rsidR="009F70E6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comparando o desempenho conforme a gravidade da lesão. Não houve diferença entre os grupos em relação ao nível de atividade física, nem no tempo de atividade realizada semanalmente. Houve uma tendência estatística (</w:t>
      </w:r>
      <w:r>
        <w:rPr>
          <w:rFonts w:ascii="Times New Roman" w:hAnsi="Times New Roman"/>
          <w:i/>
        </w:rPr>
        <w:t>p</w:t>
      </w:r>
      <w:r>
        <w:rPr>
          <w:rFonts w:ascii="Times New Roman" w:hAnsi="Times New Roman"/>
        </w:rPr>
        <w:t xml:space="preserve">=0,066) para a DP6min, </w:t>
      </w:r>
      <w:r w:rsidR="009F70E6">
        <w:rPr>
          <w:rFonts w:ascii="Times New Roman" w:hAnsi="Times New Roman"/>
        </w:rPr>
        <w:t xml:space="preserve">sendo que </w:t>
      </w:r>
      <w:r>
        <w:rPr>
          <w:rFonts w:ascii="Times New Roman" w:hAnsi="Times New Roman"/>
        </w:rPr>
        <w:t xml:space="preserve">apenas quatro participantes não atingiram os 80% da distância predita. Quanto ao nível de dor, 40% dos avaliados referiam dores persistentes de moderadas a intensas, mesmo após a cicatrização total das feridas. </w:t>
      </w:r>
    </w:p>
    <w:p w:rsidR="001250D4" w:rsidRDefault="001250D4" w:rsidP="001250D4">
      <w:pPr>
        <w:pStyle w:val="Pargrafo"/>
        <w:tabs>
          <w:tab w:val="left" w:pos="851"/>
        </w:tabs>
        <w:spacing w:line="360" w:lineRule="auto"/>
        <w:ind w:firstLine="0"/>
        <w:rPr>
          <w:rFonts w:ascii="Times New Roman" w:eastAsia="Calibri" w:hAnsi="Times New Roman"/>
          <w:szCs w:val="24"/>
          <w:lang w:eastAsia="en-US"/>
        </w:rPr>
      </w:pPr>
      <w:r>
        <w:rPr>
          <w:rFonts w:ascii="Times New Roman" w:hAnsi="Times New Roman"/>
        </w:rPr>
        <w:tab/>
      </w:r>
      <w:r>
        <w:rPr>
          <w:rFonts w:ascii="Times New Roman" w:eastAsia="Calibri" w:hAnsi="Times New Roman"/>
          <w:szCs w:val="24"/>
          <w:lang w:eastAsia="en-US"/>
        </w:rPr>
        <w:t>Apesar dos dados epidemiológicos de pacientes vítimas de queimaduras variarem muito de um país para outro, alguns dados encontrados no presente estudo assemelham-se aos da literatura nacional e internacional</w:t>
      </w:r>
      <w:r w:rsidR="009F70E6">
        <w:rPr>
          <w:rFonts w:ascii="Times New Roman" w:eastAsia="Calibri" w:hAnsi="Times New Roman"/>
          <w:szCs w:val="24"/>
          <w:lang w:eastAsia="en-US"/>
        </w:rPr>
        <w:t>,</w:t>
      </w:r>
      <w:r>
        <w:rPr>
          <w:rFonts w:ascii="Times New Roman" w:eastAsia="Calibri" w:hAnsi="Times New Roman"/>
          <w:szCs w:val="24"/>
          <w:lang w:eastAsia="en-US"/>
        </w:rPr>
        <w:t xml:space="preserve"> como </w:t>
      </w:r>
      <w:r w:rsidR="009F70E6">
        <w:rPr>
          <w:rFonts w:ascii="Times New Roman" w:eastAsia="Calibri" w:hAnsi="Times New Roman"/>
          <w:szCs w:val="24"/>
          <w:lang w:eastAsia="en-US"/>
        </w:rPr>
        <w:t xml:space="preserve">o </w:t>
      </w:r>
      <w:r>
        <w:rPr>
          <w:rFonts w:ascii="Times New Roman" w:eastAsia="Calibri" w:hAnsi="Times New Roman"/>
          <w:szCs w:val="24"/>
          <w:lang w:eastAsia="en-US"/>
        </w:rPr>
        <w:t>predomínio do sexo masculino (</w:t>
      </w:r>
      <w:r>
        <w:rPr>
          <w:rFonts w:ascii="Times New Roman" w:eastAsia="Calibri" w:hAnsi="Times New Roman"/>
          <w:iCs/>
          <w:lang w:eastAsia="en-US"/>
        </w:rPr>
        <w:t xml:space="preserve">Gawryszewski et al., 2012; </w:t>
      </w:r>
      <w:r>
        <w:rPr>
          <w:rFonts w:ascii="Times New Roman" w:hAnsi="Times New Roman"/>
        </w:rPr>
        <w:t xml:space="preserve">Van Loey et al., 2011; </w:t>
      </w:r>
      <w:r>
        <w:rPr>
          <w:rFonts w:ascii="Times New Roman" w:eastAsia="Calibri" w:hAnsi="Times New Roman"/>
          <w:lang w:eastAsia="en-US"/>
        </w:rPr>
        <w:t>Vendrusculo, Balieiro, Echevarría-Guanilo, Farina Junior &amp; Rossi, 2010)</w:t>
      </w:r>
      <w:r>
        <w:rPr>
          <w:rFonts w:ascii="Times New Roman" w:eastAsia="Calibri" w:hAnsi="Times New Roman"/>
          <w:szCs w:val="24"/>
          <w:lang w:eastAsia="en-US"/>
        </w:rPr>
        <w:t xml:space="preserve">, </w:t>
      </w:r>
      <w:r w:rsidR="009F70E6">
        <w:rPr>
          <w:rFonts w:ascii="Times New Roman" w:eastAsia="Calibri" w:hAnsi="Times New Roman"/>
          <w:szCs w:val="24"/>
          <w:lang w:eastAsia="en-US"/>
        </w:rPr>
        <w:t xml:space="preserve">a </w:t>
      </w:r>
      <w:r>
        <w:rPr>
          <w:rFonts w:ascii="Times New Roman" w:eastAsia="Calibri" w:hAnsi="Times New Roman"/>
          <w:szCs w:val="24"/>
          <w:lang w:eastAsia="en-US"/>
        </w:rPr>
        <w:t xml:space="preserve">faixa etária entre 20 </w:t>
      </w:r>
      <w:r w:rsidR="009F70E6">
        <w:rPr>
          <w:rFonts w:ascii="Times New Roman" w:eastAsia="Calibri" w:hAnsi="Times New Roman"/>
          <w:szCs w:val="24"/>
          <w:lang w:eastAsia="en-US"/>
        </w:rPr>
        <w:t xml:space="preserve">e </w:t>
      </w:r>
      <w:r>
        <w:rPr>
          <w:rFonts w:ascii="Times New Roman" w:eastAsia="Calibri" w:hAnsi="Times New Roman"/>
          <w:szCs w:val="24"/>
          <w:lang w:eastAsia="en-US"/>
        </w:rPr>
        <w:t>40 anos (</w:t>
      </w:r>
      <w:r>
        <w:rPr>
          <w:rFonts w:ascii="Times New Roman" w:hAnsi="Times New Roman"/>
          <w:szCs w:val="24"/>
        </w:rPr>
        <w:t xml:space="preserve">Dyster-Aas, Kildal &amp; Willebrand, 2007; Jarrett, </w:t>
      </w:r>
      <w:r>
        <w:rPr>
          <w:rFonts w:ascii="Times New Roman" w:eastAsia="Calibri" w:hAnsi="Times New Roman"/>
          <w:bCs/>
          <w:szCs w:val="24"/>
          <w:lang w:eastAsia="en-US"/>
        </w:rPr>
        <w:t xml:space="preserve">McMahon &amp; Stiller, 2008; </w:t>
      </w:r>
      <w:r>
        <w:rPr>
          <w:rFonts w:ascii="Times New Roman" w:eastAsia="Calibri" w:hAnsi="Times New Roman"/>
          <w:szCs w:val="24"/>
          <w:lang w:eastAsia="en-US"/>
        </w:rPr>
        <w:t>Theodorou, Xu, Weinand, Perbix &amp; Maegele, 2013)</w:t>
      </w:r>
      <w:r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 w:val="20"/>
          <w:szCs w:val="22"/>
        </w:rPr>
        <w:t xml:space="preserve"> </w:t>
      </w:r>
      <w:r w:rsidR="009F70E6">
        <w:rPr>
          <w:rFonts w:ascii="Times New Roman" w:hAnsi="Times New Roman"/>
          <w:sz w:val="20"/>
          <w:szCs w:val="22"/>
        </w:rPr>
        <w:t xml:space="preserve">o </w:t>
      </w:r>
      <w:r>
        <w:rPr>
          <w:rFonts w:ascii="Times New Roman" w:eastAsia="Calibri" w:hAnsi="Times New Roman"/>
          <w:szCs w:val="24"/>
          <w:lang w:eastAsia="en-US"/>
        </w:rPr>
        <w:t>baixo nível de escolaridade (</w:t>
      </w:r>
      <w:r>
        <w:rPr>
          <w:rFonts w:ascii="Times New Roman" w:eastAsia="Calibri" w:hAnsi="Times New Roman"/>
          <w:iCs/>
          <w:lang w:eastAsia="en-US"/>
        </w:rPr>
        <w:t xml:space="preserve">Gawryszewski et al., 2012; </w:t>
      </w:r>
      <w:r>
        <w:rPr>
          <w:rFonts w:ascii="Times New Roman" w:hAnsi="Times New Roman"/>
        </w:rPr>
        <w:t>Ringo &amp; Chilonga, 2014</w:t>
      </w:r>
      <w:r>
        <w:t>)</w:t>
      </w:r>
      <w:r>
        <w:rPr>
          <w:rFonts w:ascii="Times New Roman" w:eastAsia="Calibri" w:hAnsi="Times New Roman"/>
          <w:szCs w:val="24"/>
          <w:lang w:eastAsia="en-US"/>
        </w:rPr>
        <w:t>, o fogo como o principal agente etiológico (</w:t>
      </w:r>
      <w:r>
        <w:rPr>
          <w:rFonts w:ascii="Times New Roman" w:hAnsi="Times New Roman"/>
          <w:szCs w:val="24"/>
        </w:rPr>
        <w:t>Jarrett et al.,</w:t>
      </w:r>
      <w:r>
        <w:rPr>
          <w:rFonts w:ascii="Times New Roman" w:eastAsia="Calibri" w:hAnsi="Times New Roman"/>
          <w:bCs/>
          <w:szCs w:val="24"/>
          <w:lang w:eastAsia="en-US"/>
        </w:rPr>
        <w:t xml:space="preserve"> 2008</w:t>
      </w:r>
      <w:r>
        <w:rPr>
          <w:rFonts w:ascii="Times New Roman" w:eastAsia="Calibri" w:hAnsi="Times New Roman"/>
          <w:szCs w:val="24"/>
          <w:lang w:eastAsia="en-US"/>
        </w:rPr>
        <w:t xml:space="preserve">; </w:t>
      </w:r>
      <w:r>
        <w:rPr>
          <w:rFonts w:ascii="Times New Roman" w:hAnsi="Times New Roman"/>
        </w:rPr>
        <w:t>Ricci, Gonçalves, Gallani, Ciol, Dantas &amp; Rossi, 2014)</w:t>
      </w:r>
      <w:r>
        <w:rPr>
          <w:rFonts w:ascii="Times New Roman" w:eastAsia="Calibri" w:hAnsi="Times New Roman"/>
          <w:szCs w:val="24"/>
          <w:lang w:eastAsia="en-US"/>
        </w:rPr>
        <w:t xml:space="preserve">, o domicílio e o ambiente de trabalho como locais de maior ocorrência (Ricci, 2014; </w:t>
      </w:r>
      <w:r>
        <w:rPr>
          <w:rFonts w:ascii="Times New Roman" w:eastAsia="Calibri" w:hAnsi="Times New Roman"/>
          <w:bCs/>
          <w:lang w:eastAsia="en-US"/>
        </w:rPr>
        <w:t xml:space="preserve">Papp &amp; Haythornthwaite, 2014; </w:t>
      </w:r>
      <w:r>
        <w:rPr>
          <w:rFonts w:ascii="Times New Roman" w:hAnsi="Times New Roman"/>
        </w:rPr>
        <w:t>Elsherbiny, Salem, El-Sabbagh, Elhadidy &amp; Eldeen, 2011)</w:t>
      </w:r>
      <w:r>
        <w:rPr>
          <w:rFonts w:ascii="Times New Roman" w:eastAsia="Calibri" w:hAnsi="Times New Roman"/>
          <w:szCs w:val="24"/>
          <w:lang w:eastAsia="en-US"/>
        </w:rPr>
        <w:t xml:space="preserve">. </w:t>
      </w:r>
    </w:p>
    <w:p w:rsidR="001250D4" w:rsidRDefault="001250D4" w:rsidP="001250D4">
      <w:pPr>
        <w:pStyle w:val="Pargrafo"/>
        <w:tabs>
          <w:tab w:val="left" w:pos="851"/>
        </w:tabs>
        <w:spacing w:line="360" w:lineRule="auto"/>
        <w:ind w:firstLine="0"/>
        <w:rPr>
          <w:rFonts w:ascii="Times New Roman" w:eastAsia="Calibri" w:hAnsi="Times New Roman"/>
          <w:szCs w:val="24"/>
          <w:lang w:eastAsia="en-US"/>
        </w:rPr>
      </w:pPr>
      <w:r>
        <w:rPr>
          <w:rFonts w:ascii="Times New Roman" w:eastAsia="Calibri" w:hAnsi="Times New Roman"/>
          <w:szCs w:val="24"/>
          <w:lang w:eastAsia="en-US"/>
        </w:rPr>
        <w:tab/>
        <w:t xml:space="preserve">A superfície corpórea queimada </w:t>
      </w:r>
      <w:r>
        <w:rPr>
          <w:rFonts w:ascii="Times New Roman" w:eastAsia="Calibri" w:hAnsi="Times New Roman"/>
          <w:szCs w:val="24"/>
          <w:u w:val="single"/>
          <w:lang w:eastAsia="en-US"/>
        </w:rPr>
        <w:t>&lt;</w:t>
      </w:r>
      <w:r>
        <w:rPr>
          <w:rFonts w:ascii="Times New Roman" w:eastAsia="Calibri" w:hAnsi="Times New Roman"/>
          <w:szCs w:val="24"/>
          <w:lang w:eastAsia="en-US"/>
        </w:rPr>
        <w:t xml:space="preserve"> 10%</w:t>
      </w:r>
      <w:r>
        <w:rPr>
          <w:rFonts w:ascii="Times New Roman" w:eastAsia="Calibri" w:hAnsi="Times New Roman"/>
          <w:szCs w:val="24"/>
          <w:vertAlign w:val="superscript"/>
          <w:lang w:eastAsia="en-US"/>
        </w:rPr>
        <w:t>40</w:t>
      </w:r>
      <w:r>
        <w:rPr>
          <w:rFonts w:ascii="Times New Roman" w:eastAsia="Calibri" w:hAnsi="Times New Roman"/>
          <w:szCs w:val="24"/>
          <w:lang w:eastAsia="en-US"/>
        </w:rPr>
        <w:t xml:space="preserve"> foi a de maior prevalência e </w:t>
      </w:r>
      <w:r>
        <w:rPr>
          <w:rFonts w:ascii="Times New Roman" w:hAnsi="Times New Roman"/>
        </w:rPr>
        <w:t>quanto às áreas queimadas,</w:t>
      </w:r>
      <w:r>
        <w:rPr>
          <w:rFonts w:ascii="Times New Roman" w:eastAsia="Calibri" w:hAnsi="Times New Roman"/>
          <w:szCs w:val="24"/>
          <w:lang w:eastAsia="en-US"/>
        </w:rPr>
        <w:t xml:space="preserve"> Peck (2012)</w:t>
      </w:r>
      <w:r>
        <w:rPr>
          <w:rFonts w:ascii="Times New Roman" w:eastAsia="Calibri" w:hAnsi="Times New Roman"/>
          <w:szCs w:val="24"/>
          <w:vertAlign w:val="superscript"/>
          <w:lang w:eastAsia="en-US"/>
        </w:rPr>
        <w:t xml:space="preserve"> </w:t>
      </w:r>
      <w:r>
        <w:rPr>
          <w:rFonts w:ascii="Times New Roman" w:eastAsia="Calibri" w:hAnsi="Times New Roman"/>
          <w:szCs w:val="24"/>
          <w:lang w:eastAsia="en-US"/>
        </w:rPr>
        <w:t xml:space="preserve">aponta que o tronco superior é mais suceptível e </w:t>
      </w:r>
      <w:r>
        <w:rPr>
          <w:rFonts w:ascii="Times New Roman" w:hAnsi="Times New Roman"/>
        </w:rPr>
        <w:t xml:space="preserve">os membros superiores são os mais acometidos </w:t>
      </w:r>
      <w:r>
        <w:rPr>
          <w:rFonts w:ascii="Times New Roman" w:eastAsia="Calibri" w:hAnsi="Times New Roman"/>
          <w:szCs w:val="24"/>
          <w:lang w:eastAsia="en-US"/>
        </w:rPr>
        <w:t>(</w:t>
      </w:r>
      <w:r>
        <w:rPr>
          <w:rFonts w:ascii="Times New Roman" w:hAnsi="Times New Roman"/>
          <w:szCs w:val="24"/>
        </w:rPr>
        <w:t>Jarrett et al.,</w:t>
      </w:r>
      <w:r>
        <w:rPr>
          <w:rFonts w:ascii="Times New Roman" w:eastAsia="Calibri" w:hAnsi="Times New Roman"/>
          <w:bCs/>
          <w:szCs w:val="24"/>
          <w:lang w:eastAsia="en-US"/>
        </w:rPr>
        <w:t xml:space="preserve"> 2008; </w:t>
      </w:r>
      <w:r>
        <w:rPr>
          <w:rFonts w:ascii="Times New Roman" w:hAnsi="Times New Roman"/>
        </w:rPr>
        <w:t>Ringo &amp; Chilonga, 2014</w:t>
      </w:r>
      <w:r>
        <w:rPr>
          <w:rFonts w:ascii="Times New Roman" w:eastAsia="Calibri" w:hAnsi="Times New Roman"/>
          <w:bCs/>
          <w:szCs w:val="24"/>
          <w:lang w:eastAsia="en-US"/>
        </w:rPr>
        <w:t>)</w:t>
      </w:r>
      <w:r>
        <w:rPr>
          <w:rFonts w:ascii="Times New Roman" w:eastAsia="Calibri" w:hAnsi="Times New Roman"/>
          <w:szCs w:val="24"/>
          <w:lang w:eastAsia="en-US"/>
        </w:rPr>
        <w:t>. Sun et al. (2012)</w:t>
      </w:r>
      <w:r w:rsidR="009F70E6">
        <w:rPr>
          <w:rFonts w:ascii="Times New Roman" w:eastAsia="Calibri" w:hAnsi="Times New Roman"/>
          <w:szCs w:val="24"/>
          <w:lang w:eastAsia="en-US"/>
        </w:rPr>
        <w:t>,</w:t>
      </w:r>
      <w:r>
        <w:rPr>
          <w:rFonts w:ascii="Times New Roman" w:eastAsia="Calibri" w:hAnsi="Times New Roman"/>
          <w:szCs w:val="24"/>
          <w:lang w:eastAsia="en-US"/>
        </w:rPr>
        <w:t xml:space="preserve"> no estudo com queimaduras elétricas</w:t>
      </w:r>
      <w:r w:rsidR="009F70E6">
        <w:rPr>
          <w:rFonts w:ascii="Times New Roman" w:eastAsia="Calibri" w:hAnsi="Times New Roman"/>
          <w:szCs w:val="24"/>
          <w:lang w:eastAsia="en-US"/>
        </w:rPr>
        <w:t>,</w:t>
      </w:r>
      <w:r>
        <w:rPr>
          <w:rFonts w:ascii="Times New Roman" w:eastAsia="Calibri" w:hAnsi="Times New Roman"/>
          <w:szCs w:val="24"/>
          <w:lang w:eastAsia="en-US"/>
        </w:rPr>
        <w:t xml:space="preserve"> revelaram que 75% da via de entrada da queimadura foi pelos MMSS. O pequeno número de  lesão inalatória (LI) na população estudada pode ser explicado pela dificuldade em diagnosticar a LI no centro do estudo, por dispor de apenas um único aparelho broncoscópio para o hospital inteiro</w:t>
      </w:r>
      <w:r w:rsidR="009F70E6">
        <w:rPr>
          <w:rFonts w:ascii="Times New Roman" w:eastAsia="Calibri" w:hAnsi="Times New Roman"/>
          <w:szCs w:val="24"/>
          <w:lang w:eastAsia="en-US"/>
        </w:rPr>
        <w:t>,</w:t>
      </w:r>
      <w:r>
        <w:rPr>
          <w:rFonts w:ascii="Times New Roman" w:eastAsia="Calibri" w:hAnsi="Times New Roman"/>
          <w:szCs w:val="24"/>
          <w:lang w:eastAsia="en-US"/>
        </w:rPr>
        <w:t xml:space="preserve"> dificultando a realização do exame pela equipe da cirurgia torácica; além do pequeno número da amostra estudada. </w:t>
      </w:r>
    </w:p>
    <w:p w:rsidR="001250D4" w:rsidRDefault="001250D4" w:rsidP="001250D4">
      <w:pPr>
        <w:pStyle w:val="Pargrafo"/>
        <w:tabs>
          <w:tab w:val="left" w:pos="851"/>
        </w:tabs>
        <w:spacing w:line="360" w:lineRule="auto"/>
        <w:ind w:firstLine="0"/>
        <w:rPr>
          <w:rFonts w:ascii="Times New Roman" w:eastAsia="Calibri" w:hAnsi="Times New Roman"/>
          <w:szCs w:val="24"/>
          <w:lang w:eastAsia="en-US"/>
        </w:rPr>
      </w:pPr>
      <w:r>
        <w:rPr>
          <w:rFonts w:ascii="Times New Roman" w:eastAsia="Calibri" w:hAnsi="Times New Roman"/>
          <w:szCs w:val="24"/>
          <w:lang w:eastAsia="en-US"/>
        </w:rPr>
        <w:tab/>
        <w:t xml:space="preserve">A média de dias de internação encontrada mundialmente variou de </w:t>
      </w:r>
      <w:r>
        <w:rPr>
          <w:rFonts w:ascii="Times New Roman" w:eastAsia="Calibri" w:hAnsi="Times New Roman"/>
          <w:sz w:val="22"/>
          <w:szCs w:val="22"/>
          <w:lang w:eastAsia="en-US"/>
        </w:rPr>
        <w:t>21,6 (</w:t>
      </w:r>
      <w:r>
        <w:rPr>
          <w:rFonts w:ascii="Times New Roman" w:hAnsi="Times New Roman"/>
        </w:rPr>
        <w:t>Van Loey et al., 2011)</w:t>
      </w:r>
      <w:r>
        <w:rPr>
          <w:rFonts w:ascii="Times New Roman" w:eastAsia="Calibri" w:hAnsi="Times New Roman"/>
          <w:sz w:val="22"/>
          <w:szCs w:val="22"/>
          <w:lang w:eastAsia="en-US"/>
        </w:rPr>
        <w:t xml:space="preserve"> a 89,</w:t>
      </w:r>
      <w:r>
        <w:rPr>
          <w:rFonts w:ascii="Times New Roman" w:eastAsia="Calibri" w:hAnsi="Times New Roman"/>
          <w:szCs w:val="24"/>
          <w:lang w:eastAsia="en-US"/>
        </w:rPr>
        <w:t>0 (</w:t>
      </w:r>
      <w:r>
        <w:rPr>
          <w:rFonts w:ascii="Times New Roman" w:eastAsia="Calibri" w:hAnsi="Times New Roman"/>
          <w:lang w:eastAsia="en-US"/>
        </w:rPr>
        <w:t>Brych et al., 2001)</w:t>
      </w:r>
      <w:r>
        <w:rPr>
          <w:rFonts w:ascii="Times New Roman" w:eastAsia="Calibri" w:hAnsi="Times New Roman"/>
          <w:szCs w:val="24"/>
          <w:lang w:eastAsia="en-US"/>
        </w:rPr>
        <w:t xml:space="preserve"> dias e pode </w:t>
      </w:r>
      <w:r w:rsidR="009F70E6">
        <w:rPr>
          <w:rFonts w:ascii="Times New Roman" w:eastAsia="Calibri" w:hAnsi="Times New Roman"/>
          <w:szCs w:val="24"/>
          <w:lang w:eastAsia="en-US"/>
        </w:rPr>
        <w:t xml:space="preserve">ser </w:t>
      </w:r>
      <w:r>
        <w:rPr>
          <w:rFonts w:ascii="Times New Roman" w:eastAsia="Calibri" w:hAnsi="Times New Roman"/>
          <w:szCs w:val="24"/>
          <w:lang w:eastAsia="en-US"/>
        </w:rPr>
        <w:t xml:space="preserve">atribuído </w:t>
      </w:r>
      <w:r w:rsidR="009F70E6">
        <w:rPr>
          <w:rFonts w:ascii="Times New Roman" w:eastAsia="Calibri" w:hAnsi="Times New Roman"/>
          <w:szCs w:val="24"/>
          <w:lang w:eastAsia="en-US"/>
        </w:rPr>
        <w:t>à</w:t>
      </w:r>
      <w:r>
        <w:rPr>
          <w:rFonts w:ascii="Times New Roman" w:eastAsia="Calibri" w:hAnsi="Times New Roman"/>
          <w:szCs w:val="24"/>
          <w:lang w:eastAsia="en-US"/>
        </w:rPr>
        <w:t xml:space="preserve"> extensão das queimaduras (Ricci et al., 2014). </w:t>
      </w:r>
      <w:r>
        <w:rPr>
          <w:rFonts w:ascii="Times New Roman" w:hAnsi="Times New Roman"/>
        </w:rPr>
        <w:t>Sierra-Zúñiga, Castro-Delgado, Caicedo-Caicedo, Merchán-Galvis &amp; Delgado-Noguera (2013)</w:t>
      </w:r>
      <w:r>
        <w:t xml:space="preserve"> </w:t>
      </w:r>
      <w:r>
        <w:rPr>
          <w:rFonts w:ascii="Times New Roman" w:eastAsia="Calibri" w:hAnsi="Times New Roman"/>
          <w:szCs w:val="24"/>
          <w:lang w:eastAsia="en-US"/>
        </w:rPr>
        <w:t xml:space="preserve">referem que o tempo de permanência está </w:t>
      </w:r>
      <w:r>
        <w:rPr>
          <w:rFonts w:ascii="Times New Roman" w:eastAsia="Calibri" w:hAnsi="Times New Roman"/>
          <w:szCs w:val="24"/>
          <w:lang w:eastAsia="en-US"/>
        </w:rPr>
        <w:lastRenderedPageBreak/>
        <w:t xml:space="preserve">diretamente associado </w:t>
      </w:r>
      <w:r w:rsidR="009F70E6">
        <w:rPr>
          <w:rFonts w:ascii="Times New Roman" w:eastAsia="Calibri" w:hAnsi="Times New Roman"/>
          <w:szCs w:val="24"/>
          <w:lang w:eastAsia="en-US"/>
        </w:rPr>
        <w:t>à</w:t>
      </w:r>
      <w:r>
        <w:rPr>
          <w:rFonts w:ascii="Times New Roman" w:eastAsia="Calibri" w:hAnsi="Times New Roman"/>
          <w:szCs w:val="24"/>
          <w:lang w:eastAsia="en-US"/>
        </w:rPr>
        <w:t xml:space="preserve">  profundidade e gravidade das queimaduras;  além de depender também do agente</w:t>
      </w:r>
      <w:r w:rsidR="009F70E6">
        <w:rPr>
          <w:rFonts w:ascii="Times New Roman" w:eastAsia="Calibri" w:hAnsi="Times New Roman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Cs w:val="24"/>
          <w:lang w:eastAsia="en-US"/>
        </w:rPr>
        <w:t>etiológico, por exemplo</w:t>
      </w:r>
      <w:r w:rsidR="009F70E6">
        <w:rPr>
          <w:rFonts w:ascii="Times New Roman" w:eastAsia="Calibri" w:hAnsi="Times New Roman"/>
          <w:szCs w:val="24"/>
          <w:lang w:eastAsia="en-US"/>
        </w:rPr>
        <w:t>,</w:t>
      </w:r>
      <w:r>
        <w:rPr>
          <w:rFonts w:ascii="Times New Roman" w:eastAsia="Calibri" w:hAnsi="Times New Roman"/>
          <w:szCs w:val="24"/>
          <w:lang w:eastAsia="en-US"/>
        </w:rPr>
        <w:t xml:space="preserve"> queimaduras elétricas demandam maior tempo de internação, devido </w:t>
      </w:r>
      <w:r w:rsidR="009F70E6">
        <w:rPr>
          <w:rFonts w:ascii="Times New Roman" w:eastAsia="Calibri" w:hAnsi="Times New Roman"/>
          <w:szCs w:val="24"/>
          <w:lang w:eastAsia="en-US"/>
        </w:rPr>
        <w:t xml:space="preserve">à </w:t>
      </w:r>
      <w:r>
        <w:rPr>
          <w:rFonts w:ascii="Times New Roman" w:eastAsia="Calibri" w:hAnsi="Times New Roman"/>
          <w:szCs w:val="24"/>
          <w:lang w:eastAsia="en-US"/>
        </w:rPr>
        <w:t xml:space="preserve">maior complexidade.  A mediana encontrada foi de 24 (14-39) dias, com </w:t>
      </w:r>
      <w:r w:rsidR="009F70E6">
        <w:rPr>
          <w:rFonts w:ascii="Times New Roman" w:eastAsia="Calibri" w:hAnsi="Times New Roman"/>
          <w:szCs w:val="24"/>
          <w:lang w:eastAsia="en-US"/>
        </w:rPr>
        <w:t xml:space="preserve">o </w:t>
      </w:r>
      <w:r>
        <w:rPr>
          <w:rFonts w:ascii="Times New Roman" w:eastAsia="Calibri" w:hAnsi="Times New Roman"/>
          <w:szCs w:val="24"/>
          <w:lang w:eastAsia="en-US"/>
        </w:rPr>
        <w:t xml:space="preserve">mínimo de dois e </w:t>
      </w:r>
      <w:r w:rsidR="009F70E6">
        <w:rPr>
          <w:rFonts w:ascii="Times New Roman" w:eastAsia="Calibri" w:hAnsi="Times New Roman"/>
          <w:szCs w:val="24"/>
          <w:lang w:eastAsia="en-US"/>
        </w:rPr>
        <w:t xml:space="preserve">o </w:t>
      </w:r>
      <w:r>
        <w:rPr>
          <w:rFonts w:ascii="Times New Roman" w:eastAsia="Calibri" w:hAnsi="Times New Roman"/>
          <w:szCs w:val="24"/>
          <w:lang w:eastAsia="en-US"/>
        </w:rPr>
        <w:t xml:space="preserve">máximo de 134 dias, similarmente encontrado por Smailes, </w:t>
      </w:r>
      <w:r>
        <w:rPr>
          <w:rFonts w:ascii="Times New Roman" w:hAnsi="Times New Roman"/>
        </w:rPr>
        <w:t>Engelsman &amp; Dziewulski (2013)</w:t>
      </w:r>
      <w:r>
        <w:rPr>
          <w:rFonts w:ascii="Times New Roman" w:eastAsia="Calibri" w:hAnsi="Times New Roman"/>
          <w:szCs w:val="24"/>
          <w:lang w:eastAsia="en-US"/>
        </w:rPr>
        <w:t xml:space="preserve">.  </w:t>
      </w:r>
    </w:p>
    <w:p w:rsidR="001250D4" w:rsidRDefault="001250D4" w:rsidP="001250D4">
      <w:pPr>
        <w:pStyle w:val="Pargrafo"/>
        <w:tabs>
          <w:tab w:val="left" w:pos="851"/>
        </w:tabs>
        <w:spacing w:line="360" w:lineRule="auto"/>
        <w:ind w:firstLine="0"/>
        <w:rPr>
          <w:rFonts w:ascii="Times New Roman" w:eastAsia="Calibri" w:hAnsi="Times New Roman"/>
          <w:szCs w:val="24"/>
          <w:vertAlign w:val="superscript"/>
          <w:lang w:eastAsia="en-US"/>
        </w:rPr>
      </w:pPr>
      <w:r>
        <w:rPr>
          <w:rFonts w:ascii="Times New Roman" w:eastAsia="Calibri" w:hAnsi="Times New Roman"/>
          <w:szCs w:val="24"/>
          <w:lang w:eastAsia="en-US"/>
        </w:rPr>
        <w:tab/>
        <w:t>Assim como em estudos prévios (</w:t>
      </w:r>
      <w:r>
        <w:rPr>
          <w:rFonts w:ascii="Times New Roman" w:eastAsia="Calibri" w:hAnsi="Times New Roman"/>
          <w:lang w:eastAsia="en-US"/>
        </w:rPr>
        <w:t>Brych, 2001; Esselman et al., 2007)</w:t>
      </w:r>
      <w:r>
        <w:rPr>
          <w:rFonts w:ascii="Times New Roman" w:eastAsia="Calibri" w:hAnsi="Times New Roman"/>
          <w:szCs w:val="24"/>
          <w:lang w:eastAsia="en-US"/>
        </w:rPr>
        <w:t xml:space="preserve">, a maioria dos pacientes avaliados que trabalhavam antes do evento da queimadura retornaram </w:t>
      </w:r>
      <w:r w:rsidR="006D6795">
        <w:rPr>
          <w:rFonts w:ascii="Times New Roman" w:eastAsia="Calibri" w:hAnsi="Times New Roman"/>
          <w:szCs w:val="24"/>
          <w:lang w:eastAsia="en-US"/>
        </w:rPr>
        <w:t>à</w:t>
      </w:r>
      <w:r>
        <w:rPr>
          <w:rFonts w:ascii="Times New Roman" w:eastAsia="Calibri" w:hAnsi="Times New Roman"/>
          <w:szCs w:val="24"/>
          <w:lang w:eastAsia="en-US"/>
        </w:rPr>
        <w:t xml:space="preserve">s suas atividades laborais com sucesso, assim como no presente estudo, </w:t>
      </w:r>
      <w:r w:rsidR="006D6795">
        <w:rPr>
          <w:rFonts w:ascii="Times New Roman" w:eastAsia="Calibri" w:hAnsi="Times New Roman"/>
          <w:szCs w:val="24"/>
          <w:lang w:eastAsia="en-US"/>
        </w:rPr>
        <w:t xml:space="preserve">no qual </w:t>
      </w:r>
      <w:r>
        <w:rPr>
          <w:rFonts w:ascii="Times New Roman" w:eastAsia="Calibri" w:hAnsi="Times New Roman"/>
          <w:szCs w:val="24"/>
          <w:lang w:eastAsia="en-US"/>
        </w:rPr>
        <w:t>69% retornaram ao trabalho. Esselman et al. (2007)</w:t>
      </w:r>
      <w:r>
        <w:rPr>
          <w:rFonts w:ascii="Times New Roman" w:eastAsia="Calibri" w:hAnsi="Times New Roman"/>
          <w:szCs w:val="24"/>
          <w:vertAlign w:val="superscript"/>
          <w:lang w:eastAsia="en-US"/>
        </w:rPr>
        <w:t xml:space="preserve"> </w:t>
      </w:r>
      <w:r>
        <w:rPr>
          <w:rFonts w:ascii="Times New Roman" w:eastAsia="Calibri" w:hAnsi="Times New Roman"/>
          <w:szCs w:val="24"/>
          <w:lang w:eastAsia="en-US"/>
        </w:rPr>
        <w:t>detectaram que as barreiras para o retorno ao trabalho são diversas, decorrentes não só das queimaduras, mas também das limitações físicas e psicológicas. Mackey et al. (2009)</w:t>
      </w:r>
      <w:r>
        <w:rPr>
          <w:rFonts w:ascii="Times New Roman" w:eastAsia="Calibri" w:hAnsi="Times New Roman"/>
          <w:szCs w:val="24"/>
          <w:vertAlign w:val="superscript"/>
          <w:lang w:eastAsia="en-US"/>
        </w:rPr>
        <w:t xml:space="preserve"> </w:t>
      </w:r>
      <w:r>
        <w:rPr>
          <w:rFonts w:ascii="Times New Roman" w:eastAsia="Calibri" w:hAnsi="Times New Roman"/>
          <w:szCs w:val="24"/>
          <w:lang w:eastAsia="en-US"/>
        </w:rPr>
        <w:t xml:space="preserve">referem que a dor é </w:t>
      </w:r>
      <w:r w:rsidR="00245910">
        <w:rPr>
          <w:rFonts w:ascii="Times New Roman" w:eastAsia="Calibri" w:hAnsi="Times New Roman"/>
          <w:szCs w:val="24"/>
          <w:lang w:eastAsia="en-US"/>
        </w:rPr>
        <w:t xml:space="preserve">uma </w:t>
      </w:r>
      <w:r>
        <w:rPr>
          <w:rFonts w:ascii="Times New Roman" w:eastAsia="Calibri" w:hAnsi="Times New Roman"/>
          <w:szCs w:val="24"/>
          <w:lang w:eastAsia="en-US"/>
        </w:rPr>
        <w:t xml:space="preserve">das principais razões para o não retorno ao trabalho. Além da dor, os autores citam também a gravidade das queimaduras, </w:t>
      </w:r>
      <w:r w:rsidR="00245910">
        <w:rPr>
          <w:rFonts w:ascii="Times New Roman" w:eastAsia="Calibri" w:hAnsi="Times New Roman"/>
          <w:szCs w:val="24"/>
          <w:lang w:eastAsia="en-US"/>
        </w:rPr>
        <w:t xml:space="preserve">a </w:t>
      </w:r>
      <w:r>
        <w:rPr>
          <w:rFonts w:ascii="Times New Roman" w:eastAsia="Calibri" w:hAnsi="Times New Roman"/>
          <w:szCs w:val="24"/>
          <w:lang w:eastAsia="en-US"/>
        </w:rPr>
        <w:t xml:space="preserve">amputação de dedos e </w:t>
      </w:r>
      <w:r w:rsidR="00245910">
        <w:rPr>
          <w:rFonts w:ascii="Times New Roman" w:eastAsia="Calibri" w:hAnsi="Times New Roman"/>
          <w:szCs w:val="24"/>
          <w:lang w:eastAsia="en-US"/>
        </w:rPr>
        <w:t xml:space="preserve">de </w:t>
      </w:r>
      <w:r>
        <w:rPr>
          <w:rFonts w:ascii="Times New Roman" w:eastAsia="Calibri" w:hAnsi="Times New Roman"/>
          <w:szCs w:val="24"/>
          <w:lang w:eastAsia="en-US"/>
        </w:rPr>
        <w:t xml:space="preserve">membros superiores e </w:t>
      </w:r>
      <w:r w:rsidR="00245910">
        <w:rPr>
          <w:rFonts w:ascii="Times New Roman" w:eastAsia="Calibri" w:hAnsi="Times New Roman"/>
          <w:szCs w:val="24"/>
          <w:lang w:eastAsia="en-US"/>
        </w:rPr>
        <w:t xml:space="preserve">a </w:t>
      </w:r>
      <w:r>
        <w:rPr>
          <w:rFonts w:ascii="Times New Roman" w:eastAsia="Calibri" w:hAnsi="Times New Roman"/>
          <w:szCs w:val="24"/>
          <w:lang w:eastAsia="en-US"/>
        </w:rPr>
        <w:t xml:space="preserve">cicatrização hipertrófica que limitam os movimentos. Os 16 indivíduos que não conseguiram retornar ao trabalho tinham queimaduras graves, </w:t>
      </w:r>
      <w:r w:rsidR="00245910">
        <w:rPr>
          <w:rFonts w:ascii="Times New Roman" w:eastAsia="Calibri" w:hAnsi="Times New Roman"/>
          <w:szCs w:val="24"/>
          <w:lang w:eastAsia="en-US"/>
        </w:rPr>
        <w:t xml:space="preserve">apresentavam </w:t>
      </w:r>
      <w:r>
        <w:rPr>
          <w:rFonts w:ascii="Times New Roman" w:eastAsia="Calibri" w:hAnsi="Times New Roman"/>
          <w:szCs w:val="24"/>
          <w:lang w:eastAsia="en-US"/>
        </w:rPr>
        <w:t>dor e encontravam-se ainda em processo de reabilitação.</w:t>
      </w:r>
    </w:p>
    <w:p w:rsidR="001250D4" w:rsidRDefault="001250D4" w:rsidP="001250D4">
      <w:pPr>
        <w:pStyle w:val="Pargrafo"/>
        <w:tabs>
          <w:tab w:val="left" w:pos="851"/>
        </w:tabs>
        <w:spacing w:line="360" w:lineRule="auto"/>
        <w:ind w:firstLine="0"/>
        <w:rPr>
          <w:rFonts w:ascii="Times New Roman" w:eastAsia="Calibri" w:hAnsi="Times New Roman"/>
          <w:szCs w:val="24"/>
          <w:lang w:eastAsia="en-US"/>
        </w:rPr>
      </w:pPr>
      <w:r>
        <w:rPr>
          <w:rFonts w:ascii="Times New Roman" w:eastAsia="Calibri" w:hAnsi="Times New Roman"/>
          <w:szCs w:val="24"/>
          <w:lang w:eastAsia="en-US"/>
        </w:rPr>
        <w:tab/>
        <w:t>A dor é outro problema que acompanha o sobrevivente</w:t>
      </w:r>
      <w:r w:rsidR="00245910">
        <w:rPr>
          <w:rFonts w:ascii="Times New Roman" w:eastAsia="Calibri" w:hAnsi="Times New Roman"/>
          <w:szCs w:val="24"/>
          <w:lang w:eastAsia="en-US"/>
        </w:rPr>
        <w:t>,</w:t>
      </w:r>
      <w:r>
        <w:rPr>
          <w:rFonts w:ascii="Times New Roman" w:eastAsia="Calibri" w:hAnsi="Times New Roman"/>
          <w:szCs w:val="24"/>
          <w:lang w:eastAsia="en-US"/>
        </w:rPr>
        <w:t xml:space="preserve"> mesmo após a completa cicatrização das feridas (Ulrich, 2009)</w:t>
      </w:r>
      <w:r w:rsidR="00245910">
        <w:rPr>
          <w:rFonts w:ascii="Times New Roman" w:eastAsia="Calibri" w:hAnsi="Times New Roman"/>
          <w:szCs w:val="24"/>
          <w:lang w:eastAsia="en-US"/>
        </w:rPr>
        <w:t>. E</w:t>
      </w:r>
      <w:r>
        <w:rPr>
          <w:rFonts w:ascii="Times New Roman" w:eastAsia="Calibri" w:hAnsi="Times New Roman"/>
          <w:szCs w:val="24"/>
          <w:lang w:eastAsia="en-US"/>
        </w:rPr>
        <w:t>studos (</w:t>
      </w:r>
      <w:r>
        <w:rPr>
          <w:rFonts w:ascii="Times New Roman" w:hAnsi="Times New Roman"/>
        </w:rPr>
        <w:t xml:space="preserve">Choinière, 1994; </w:t>
      </w:r>
      <w:r>
        <w:rPr>
          <w:rFonts w:ascii="Times New Roman" w:eastAsia="Calibri" w:hAnsi="Times New Roman"/>
          <w:lang w:eastAsia="en-US"/>
        </w:rPr>
        <w:t>Dauber, Osgood, Breslau, Vernon &amp; Carr, 2002)</w:t>
      </w:r>
      <w:r>
        <w:rPr>
          <w:rFonts w:ascii="Times New Roman" w:eastAsia="Calibri" w:hAnsi="Times New Roman"/>
          <w:szCs w:val="24"/>
          <w:lang w:eastAsia="en-US"/>
        </w:rPr>
        <w:t xml:space="preserve"> relatam que a dor  pode persisitir por anos após o evento da queimadura. Dauber et al. (2002)</w:t>
      </w:r>
      <w:r>
        <w:rPr>
          <w:rFonts w:ascii="Times New Roman" w:eastAsia="Calibri" w:hAnsi="Times New Roman"/>
          <w:szCs w:val="24"/>
          <w:vertAlign w:val="superscript"/>
          <w:lang w:eastAsia="en-US"/>
        </w:rPr>
        <w:t xml:space="preserve"> </w:t>
      </w:r>
      <w:r>
        <w:rPr>
          <w:rFonts w:ascii="Times New Roman" w:eastAsia="Calibri" w:hAnsi="Times New Roman"/>
          <w:szCs w:val="24"/>
          <w:lang w:eastAsia="en-US"/>
        </w:rPr>
        <w:t>referem que a dor é capaz de  interferir nas atividades funcionais em quase metade dos sobreviventes</w:t>
      </w:r>
      <w:r w:rsidR="00245910">
        <w:rPr>
          <w:rFonts w:ascii="Times New Roman" w:eastAsia="Calibri" w:hAnsi="Times New Roman"/>
          <w:szCs w:val="24"/>
          <w:lang w:eastAsia="en-US"/>
        </w:rPr>
        <w:t>,</w:t>
      </w:r>
      <w:r>
        <w:rPr>
          <w:rFonts w:ascii="Times New Roman" w:eastAsia="Calibri" w:hAnsi="Times New Roman"/>
          <w:szCs w:val="24"/>
          <w:lang w:eastAsia="en-US"/>
        </w:rPr>
        <w:t xml:space="preserve"> similarmente com os achados da presente pesquisa em que 45% dos indivíduos com dor apresentaram limitações em suas vidas.</w:t>
      </w:r>
    </w:p>
    <w:p w:rsidR="001250D4" w:rsidRDefault="001250D4" w:rsidP="001250D4">
      <w:pPr>
        <w:pStyle w:val="Pargrafo"/>
        <w:tabs>
          <w:tab w:val="left" w:pos="851"/>
        </w:tabs>
        <w:spacing w:line="360" w:lineRule="auto"/>
        <w:ind w:firstLine="0"/>
        <w:rPr>
          <w:rFonts w:ascii="Times New Roman" w:eastAsia="Calibri" w:hAnsi="Times New Roman"/>
          <w:szCs w:val="24"/>
          <w:lang w:eastAsia="en-US"/>
        </w:rPr>
      </w:pPr>
      <w:r>
        <w:rPr>
          <w:rFonts w:ascii="Times New Roman" w:eastAsia="Calibri" w:hAnsi="Times New Roman"/>
          <w:szCs w:val="24"/>
          <w:lang w:eastAsia="en-US"/>
        </w:rPr>
        <w:tab/>
        <w:t>Observou</w:t>
      </w:r>
      <w:r w:rsidR="00245910">
        <w:rPr>
          <w:rFonts w:ascii="Times New Roman" w:eastAsia="Calibri" w:hAnsi="Times New Roman"/>
          <w:szCs w:val="24"/>
          <w:lang w:eastAsia="en-US"/>
        </w:rPr>
        <w:t>-se</w:t>
      </w:r>
      <w:r>
        <w:rPr>
          <w:rFonts w:ascii="Times New Roman" w:eastAsia="Calibri" w:hAnsi="Times New Roman"/>
          <w:szCs w:val="24"/>
          <w:lang w:eastAsia="en-US"/>
        </w:rPr>
        <w:t xml:space="preserve"> também o descondicionamento físico causado pela combinação de diferentes fatores como a alteração no metabolismo, </w:t>
      </w:r>
      <w:r w:rsidR="00245910">
        <w:rPr>
          <w:rFonts w:ascii="Times New Roman" w:eastAsia="Calibri" w:hAnsi="Times New Roman"/>
          <w:szCs w:val="24"/>
          <w:lang w:eastAsia="en-US"/>
        </w:rPr>
        <w:t xml:space="preserve">o </w:t>
      </w:r>
      <w:r>
        <w:rPr>
          <w:rFonts w:ascii="Times New Roman" w:eastAsia="Calibri" w:hAnsi="Times New Roman"/>
          <w:szCs w:val="24"/>
          <w:lang w:eastAsia="en-US"/>
        </w:rPr>
        <w:t>longo período acamado, cirurgias frequentes, medicações e problemas psicológicos (</w:t>
      </w:r>
      <w:r>
        <w:rPr>
          <w:rFonts w:ascii="Times New Roman" w:eastAsia="Calibri" w:hAnsi="Times New Roman"/>
          <w:lang w:eastAsia="en-US"/>
        </w:rPr>
        <w:t>Esselman et al., 2007; Disseldorp, Nieuwenhuis, Van Baar &amp; Mouton, 2011)</w:t>
      </w:r>
      <w:r>
        <w:rPr>
          <w:rFonts w:ascii="Times New Roman" w:eastAsia="Calibri" w:hAnsi="Times New Roman"/>
          <w:szCs w:val="24"/>
          <w:lang w:eastAsia="en-US"/>
        </w:rPr>
        <w:t xml:space="preserve">. </w:t>
      </w:r>
      <w:r>
        <w:rPr>
          <w:rFonts w:ascii="Times New Roman" w:eastAsia="Calibri" w:hAnsi="Times New Roman"/>
          <w:lang w:eastAsia="en-US"/>
        </w:rPr>
        <w:t xml:space="preserve">Baldwin &amp; Li (2013) referem que a caminhada é a atividade mais realizada, por ser uma forma de atividade aeróbica acessível e prática. </w:t>
      </w:r>
    </w:p>
    <w:p w:rsidR="001250D4" w:rsidRDefault="001250D4" w:rsidP="00125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rPr>
          <w:rFonts w:eastAsia="Calibri" w:cs="Arial"/>
          <w:sz w:val="20"/>
          <w:szCs w:val="16"/>
          <w:vertAlign w:val="superscript"/>
          <w:lang w:eastAsia="en-US"/>
        </w:rPr>
        <w:tab/>
      </w:r>
      <w:r>
        <w:rPr>
          <w:rFonts w:cs="Arial"/>
        </w:rPr>
        <w:t xml:space="preserve">A resposta sistêmica metabólica imediata após a queimadura que leva a um estado de </w:t>
      </w:r>
      <w:proofErr w:type="spellStart"/>
      <w:r>
        <w:rPr>
          <w:rFonts w:cs="Arial"/>
        </w:rPr>
        <w:t>hipermeta</w:t>
      </w:r>
      <w:r>
        <w:t>bolismo</w:t>
      </w:r>
      <w:proofErr w:type="spellEnd"/>
      <w:r>
        <w:t xml:space="preserve"> causa impacto no sistema cardiovascular (Johnson, 1994; </w:t>
      </w:r>
      <w:proofErr w:type="spellStart"/>
      <w:r>
        <w:t>Oqunbieje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al., 2016; Benjamin, Andersen, </w:t>
      </w:r>
      <w:proofErr w:type="spellStart"/>
      <w:r>
        <w:t>Herndon</w:t>
      </w:r>
      <w:proofErr w:type="spellEnd"/>
      <w:r>
        <w:t xml:space="preserve"> &amp; </w:t>
      </w:r>
      <w:proofErr w:type="spellStart"/>
      <w:r>
        <w:t>Suman</w:t>
      </w:r>
      <w:proofErr w:type="spellEnd"/>
      <w:r>
        <w:t>, 2015), e isso pode persistir por até doze meses após o evento inicial (Hart et al., 2000). Além disso</w:t>
      </w:r>
      <w:r w:rsidR="00245910">
        <w:t>,</w:t>
      </w:r>
      <w:r>
        <w:t xml:space="preserve"> há </w:t>
      </w:r>
      <w:r>
        <w:lastRenderedPageBreak/>
        <w:t xml:space="preserve">evidências de que a frequência cardíaca pode permanecer elevada por dois anos </w:t>
      </w:r>
      <w:r w:rsidR="00245910">
        <w:t>a</w:t>
      </w:r>
      <w:r>
        <w:t xml:space="preserve">pós </w:t>
      </w:r>
      <w:r w:rsidR="00245910">
        <w:t xml:space="preserve">a </w:t>
      </w:r>
      <w:r>
        <w:t>queimadura (</w:t>
      </w:r>
      <w:proofErr w:type="spellStart"/>
      <w:r>
        <w:t>Jeschke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al., 2008).</w:t>
      </w:r>
    </w:p>
    <w:p w:rsidR="001250D4" w:rsidRDefault="001250D4" w:rsidP="001250D4">
      <w:pPr>
        <w:pStyle w:val="Pargrafo"/>
        <w:tabs>
          <w:tab w:val="left" w:pos="851"/>
        </w:tabs>
        <w:spacing w:line="360" w:lineRule="auto"/>
        <w:ind w:firstLine="0"/>
        <w:rPr>
          <w:rFonts w:ascii="Times New Roman" w:eastAsia="Calibri" w:hAnsi="Times New Roman"/>
          <w:szCs w:val="24"/>
          <w:lang w:eastAsia="en-US"/>
        </w:rPr>
      </w:pPr>
      <w:r>
        <w:rPr>
          <w:rFonts w:ascii="Times New Roman" w:hAnsi="Times New Roman"/>
        </w:rPr>
        <w:tab/>
        <w:t>No presente estudo</w:t>
      </w:r>
      <w:r w:rsidR="00245910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observ</w:t>
      </w:r>
      <w:r w:rsidR="00245910">
        <w:rPr>
          <w:rFonts w:ascii="Times New Roman" w:hAnsi="Times New Roman"/>
        </w:rPr>
        <w:t>aram</w:t>
      </w:r>
      <w:r>
        <w:rPr>
          <w:rFonts w:ascii="Times New Roman" w:hAnsi="Times New Roman"/>
        </w:rPr>
        <w:t>-se alterações nas pressões diastólicas e sistólicas após o TC6min, com diferenças estatisticamente significativas entre os grupos médio</w:t>
      </w:r>
      <w:r w:rsidR="00245910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e grande</w:t>
      </w:r>
      <w:r w:rsidR="00245910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queimados, mas não se pode afirmar que essa variação decorre da gravidade da lesão.</w:t>
      </w:r>
    </w:p>
    <w:p w:rsidR="001250D4" w:rsidRDefault="001250D4" w:rsidP="001250D4">
      <w:pPr>
        <w:pStyle w:val="Pargrafo"/>
        <w:tabs>
          <w:tab w:val="left" w:pos="851"/>
        </w:tabs>
        <w:spacing w:line="360" w:lineRule="auto"/>
        <w:ind w:firstLine="851"/>
        <w:rPr>
          <w:rFonts w:ascii="Times New Roman" w:eastAsia="Calibri" w:hAnsi="Times New Roman"/>
          <w:szCs w:val="24"/>
          <w:lang w:eastAsia="en-US"/>
        </w:rPr>
      </w:pPr>
      <w:r>
        <w:rPr>
          <w:rFonts w:ascii="Times New Roman" w:eastAsia="Calibri" w:hAnsi="Times New Roman"/>
          <w:szCs w:val="24"/>
          <w:lang w:eastAsia="en-US"/>
        </w:rPr>
        <w:t xml:space="preserve">Quanto </w:t>
      </w:r>
      <w:r w:rsidR="00245910">
        <w:rPr>
          <w:rFonts w:ascii="Times New Roman" w:eastAsia="Calibri" w:hAnsi="Times New Roman"/>
          <w:szCs w:val="24"/>
          <w:lang w:eastAsia="en-US"/>
        </w:rPr>
        <w:t>à</w:t>
      </w:r>
      <w:r>
        <w:rPr>
          <w:rFonts w:ascii="Times New Roman" w:eastAsia="Calibri" w:hAnsi="Times New Roman"/>
          <w:szCs w:val="24"/>
          <w:lang w:eastAsia="en-US"/>
        </w:rPr>
        <w:t xml:space="preserve"> avaliação da capacidade aeróbica, o TC6min é utilizado principalmente em pacientes com doença crônica pulmonar e o teste foi escolhido </w:t>
      </w:r>
      <w:r>
        <w:rPr>
          <w:rFonts w:ascii="Times New Roman" w:hAnsi="Times New Roman"/>
        </w:rPr>
        <w:t>baseado nas suas qualidades</w:t>
      </w:r>
      <w:r w:rsidR="00245910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como simplicidade, praticidade, fácil realização e </w:t>
      </w:r>
      <w:r w:rsidR="00245910">
        <w:rPr>
          <w:rFonts w:ascii="Times New Roman" w:hAnsi="Times New Roman"/>
        </w:rPr>
        <w:t xml:space="preserve">o fato de </w:t>
      </w:r>
      <w:r>
        <w:rPr>
          <w:rFonts w:ascii="Times New Roman" w:hAnsi="Times New Roman"/>
        </w:rPr>
        <w:t xml:space="preserve">ser altamente reprodutível na prática clínica (Vilaró, Resqueti &amp; Fregonezi, 2012). </w:t>
      </w:r>
      <w:r>
        <w:rPr>
          <w:rFonts w:ascii="Times New Roman" w:eastAsia="Calibri" w:hAnsi="Times New Roman"/>
          <w:szCs w:val="24"/>
          <w:lang w:eastAsia="en-US"/>
        </w:rPr>
        <w:t>No presente estudo, a grande maioria dos participantes atingiu a distância predita, ou seja</w:t>
      </w:r>
      <w:r w:rsidR="00245910">
        <w:rPr>
          <w:rFonts w:ascii="Times New Roman" w:eastAsia="Calibri" w:hAnsi="Times New Roman"/>
          <w:szCs w:val="24"/>
          <w:lang w:eastAsia="en-US"/>
        </w:rPr>
        <w:t>,</w:t>
      </w:r>
      <w:r>
        <w:rPr>
          <w:rFonts w:ascii="Times New Roman" w:eastAsia="Calibri" w:hAnsi="Times New Roman"/>
          <w:szCs w:val="24"/>
          <w:lang w:eastAsia="en-US"/>
        </w:rPr>
        <w:t xml:space="preserve"> estão com o condicionamento aeróbico dentro da normalidade, segundo Holland et al. (2014)</w:t>
      </w:r>
      <w:r w:rsidR="00245910">
        <w:rPr>
          <w:rFonts w:ascii="Times New Roman" w:eastAsia="Calibri" w:hAnsi="Times New Roman"/>
          <w:szCs w:val="24"/>
          <w:lang w:eastAsia="en-US"/>
        </w:rPr>
        <w:t xml:space="preserve"> –</w:t>
      </w:r>
      <w:r>
        <w:rPr>
          <w:rFonts w:ascii="Times New Roman" w:eastAsia="Calibri" w:hAnsi="Times New Roman"/>
          <w:szCs w:val="24"/>
          <w:lang w:eastAsia="en-US"/>
        </w:rPr>
        <w:t xml:space="preserve"> resultado similarmente encontrado por </w:t>
      </w:r>
      <w:r>
        <w:rPr>
          <w:rFonts w:ascii="Times New Roman" w:hAnsi="Times New Roman"/>
        </w:rPr>
        <w:t>Stockton et al. (2012)</w:t>
      </w:r>
      <w:r w:rsidR="00245910">
        <w:rPr>
          <w:rFonts w:ascii="Times New Roman" w:hAnsi="Times New Roman"/>
        </w:rPr>
        <w:t>, em que</w:t>
      </w:r>
      <w:r>
        <w:rPr>
          <w:rFonts w:ascii="Times New Roman" w:hAnsi="Times New Roman"/>
        </w:rPr>
        <w:t xml:space="preserve"> a maioria dos avaliados alcançou resposta normal do exercício. </w:t>
      </w:r>
      <w:r>
        <w:rPr>
          <w:rFonts w:ascii="Times New Roman" w:eastAsia="Calibri" w:hAnsi="Times New Roman"/>
          <w:szCs w:val="24"/>
          <w:lang w:eastAsia="en-US"/>
        </w:rPr>
        <w:t xml:space="preserve">Houve uma tendência estatística </w:t>
      </w:r>
      <w:r>
        <w:rPr>
          <w:rFonts w:ascii="Times New Roman" w:hAnsi="Times New Roman"/>
        </w:rPr>
        <w:t xml:space="preserve">em </w:t>
      </w:r>
      <w:r>
        <w:rPr>
          <w:rFonts w:ascii="Times New Roman" w:eastAsia="Calibri" w:hAnsi="Times New Roman"/>
          <w:szCs w:val="24"/>
          <w:lang w:eastAsia="en-US"/>
        </w:rPr>
        <w:t xml:space="preserve">relação </w:t>
      </w:r>
      <w:r w:rsidR="00245910">
        <w:rPr>
          <w:rFonts w:ascii="Times New Roman" w:eastAsia="Calibri" w:hAnsi="Times New Roman"/>
          <w:szCs w:val="24"/>
          <w:lang w:eastAsia="en-US"/>
        </w:rPr>
        <w:t>à</w:t>
      </w:r>
      <w:r>
        <w:rPr>
          <w:rFonts w:ascii="Times New Roman" w:eastAsia="Calibri" w:hAnsi="Times New Roman"/>
          <w:szCs w:val="24"/>
          <w:lang w:eastAsia="en-US"/>
        </w:rPr>
        <w:t xml:space="preserve"> distância percorrida</w:t>
      </w:r>
      <w:r w:rsidR="00245910">
        <w:rPr>
          <w:rFonts w:ascii="Times New Roman" w:eastAsia="Calibri" w:hAnsi="Times New Roman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Cs w:val="24"/>
          <w:lang w:eastAsia="en-US"/>
        </w:rPr>
        <w:t>(DP6min) entre os médio</w:t>
      </w:r>
      <w:r w:rsidR="00245910">
        <w:rPr>
          <w:rFonts w:ascii="Times New Roman" w:eastAsia="Calibri" w:hAnsi="Times New Roman"/>
          <w:szCs w:val="24"/>
          <w:lang w:eastAsia="en-US"/>
        </w:rPr>
        <w:t>s</w:t>
      </w:r>
      <w:r>
        <w:rPr>
          <w:rFonts w:ascii="Times New Roman" w:eastAsia="Calibri" w:hAnsi="Times New Roman"/>
          <w:szCs w:val="24"/>
          <w:lang w:eastAsia="en-US"/>
        </w:rPr>
        <w:t xml:space="preserve"> e grande</w:t>
      </w:r>
      <w:r w:rsidR="00245910">
        <w:rPr>
          <w:rFonts w:ascii="Times New Roman" w:eastAsia="Calibri" w:hAnsi="Times New Roman"/>
          <w:szCs w:val="24"/>
          <w:lang w:eastAsia="en-US"/>
        </w:rPr>
        <w:t>s</w:t>
      </w:r>
      <w:r>
        <w:rPr>
          <w:rFonts w:ascii="Times New Roman" w:eastAsia="Calibri" w:hAnsi="Times New Roman"/>
          <w:szCs w:val="24"/>
          <w:lang w:eastAsia="en-US"/>
        </w:rPr>
        <w:t xml:space="preserve"> queimados (</w:t>
      </w:r>
      <w:r>
        <w:rPr>
          <w:rFonts w:ascii="Times New Roman" w:eastAsia="Calibri" w:hAnsi="Times New Roman"/>
          <w:i/>
          <w:szCs w:val="24"/>
          <w:lang w:eastAsia="en-US"/>
        </w:rPr>
        <w:t>p</w:t>
      </w:r>
      <w:r>
        <w:rPr>
          <w:rFonts w:ascii="Times New Roman" w:eastAsia="Calibri" w:hAnsi="Times New Roman"/>
          <w:szCs w:val="24"/>
          <w:lang w:eastAsia="en-US"/>
        </w:rPr>
        <w:t xml:space="preserve">=0,066), resultado que pode ser  explicado pelo poder da amostra de 63%. </w:t>
      </w:r>
    </w:p>
    <w:p w:rsidR="001250D4" w:rsidRDefault="001250D4" w:rsidP="00125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Verificou-se também alto índice de indivíduos com sobrepeso e com obesidade grau I e II após a alta hospitalar, com média do IMC de 26,5 </w:t>
      </w:r>
      <w:r>
        <w:rPr>
          <w:rFonts w:eastAsia="Calibri"/>
          <w:u w:val="single"/>
          <w:lang w:eastAsia="en-US"/>
        </w:rPr>
        <w:t>+</w:t>
      </w:r>
      <w:r>
        <w:rPr>
          <w:rFonts w:eastAsia="Calibri"/>
          <w:lang w:eastAsia="en-US"/>
        </w:rPr>
        <w:t xml:space="preserve"> 5,1 kg/m</w:t>
      </w:r>
      <w:r>
        <w:rPr>
          <w:rFonts w:eastAsia="Calibri"/>
          <w:vertAlign w:val="superscript"/>
          <w:lang w:eastAsia="en-US"/>
        </w:rPr>
        <w:t>2</w:t>
      </w:r>
      <w:r>
        <w:rPr>
          <w:rFonts w:eastAsia="Calibri"/>
          <w:lang w:eastAsia="en-US"/>
        </w:rPr>
        <w:t xml:space="preserve">, como observado por </w:t>
      </w:r>
      <w:proofErr w:type="spellStart"/>
      <w:r>
        <w:rPr>
          <w:rFonts w:eastAsia="Calibri"/>
          <w:lang w:eastAsia="en-US"/>
        </w:rPr>
        <w:t>Theodorou</w:t>
      </w:r>
      <w:proofErr w:type="spellEnd"/>
      <w:r>
        <w:rPr>
          <w:rFonts w:eastAsia="Calibri"/>
          <w:lang w:eastAsia="en-US"/>
        </w:rPr>
        <w:t xml:space="preserve"> </w:t>
      </w:r>
      <w:proofErr w:type="gramStart"/>
      <w:r>
        <w:rPr>
          <w:rFonts w:eastAsia="Calibri"/>
          <w:lang w:eastAsia="en-US"/>
        </w:rPr>
        <w:t>et</w:t>
      </w:r>
      <w:proofErr w:type="gramEnd"/>
      <w:r>
        <w:rPr>
          <w:rFonts w:eastAsia="Calibri"/>
          <w:lang w:eastAsia="en-US"/>
        </w:rPr>
        <w:t xml:space="preserve"> al</w:t>
      </w:r>
      <w:r>
        <w:rPr>
          <w:rFonts w:eastAsia="Calibri"/>
          <w:i/>
          <w:lang w:eastAsia="en-US"/>
        </w:rPr>
        <w:t>.</w:t>
      </w:r>
      <w:r>
        <w:rPr>
          <w:rFonts w:eastAsia="Calibri"/>
          <w:lang w:eastAsia="en-US"/>
        </w:rPr>
        <w:t>(2013). O único estudo disponível</w:t>
      </w:r>
      <w:r w:rsidR="00245910">
        <w:rPr>
          <w:rFonts w:eastAsia="Calibri"/>
          <w:lang w:eastAsia="en-US"/>
        </w:rPr>
        <w:t>,</w:t>
      </w:r>
      <w:r>
        <w:rPr>
          <w:rFonts w:eastAsia="Calibri"/>
          <w:lang w:eastAsia="en-US"/>
        </w:rPr>
        <w:t xml:space="preserve"> comparando os resultados funcionais em indivíduos obesos e não obesos</w:t>
      </w:r>
      <w:r w:rsidR="00245910">
        <w:rPr>
          <w:rFonts w:eastAsia="Calibri"/>
          <w:lang w:eastAsia="en-US"/>
        </w:rPr>
        <w:t>,</w:t>
      </w:r>
      <w:r>
        <w:rPr>
          <w:rFonts w:eastAsia="Calibri"/>
          <w:lang w:eastAsia="en-US"/>
        </w:rPr>
        <w:t xml:space="preserve"> mostra que o IMC pode contribuir para a menor pontuação funcional (</w:t>
      </w:r>
      <w:r>
        <w:t xml:space="preserve">Farrell </w:t>
      </w:r>
      <w:proofErr w:type="gramStart"/>
      <w:r>
        <w:t>et</w:t>
      </w:r>
      <w:proofErr w:type="gramEnd"/>
      <w:r>
        <w:t xml:space="preserve"> al., 2008)</w:t>
      </w:r>
      <w:r>
        <w:rPr>
          <w:rFonts w:eastAsia="Calibri"/>
          <w:lang w:eastAsia="en-US"/>
        </w:rPr>
        <w:t>, mas há necessidade de estudos que expliquem as causas que levam ao aumento de peso nos pacientes após uma queimadura.</w:t>
      </w:r>
    </w:p>
    <w:p w:rsidR="001250D4" w:rsidRDefault="001250D4" w:rsidP="00125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As limitações do presente estudo referem-se </w:t>
      </w:r>
      <w:r w:rsidR="00245910">
        <w:rPr>
          <w:rFonts w:eastAsia="Calibri"/>
          <w:lang w:eastAsia="en-US"/>
        </w:rPr>
        <w:t xml:space="preserve">ao </w:t>
      </w:r>
      <w:r>
        <w:rPr>
          <w:rFonts w:eastAsia="Calibri"/>
          <w:lang w:eastAsia="en-US"/>
        </w:rPr>
        <w:t xml:space="preserve">tamanho da amostra e </w:t>
      </w:r>
      <w:r w:rsidR="00245910">
        <w:rPr>
          <w:rFonts w:eastAsia="Calibri"/>
          <w:lang w:eastAsia="en-US"/>
        </w:rPr>
        <w:t xml:space="preserve">à </w:t>
      </w:r>
      <w:r>
        <w:rPr>
          <w:rFonts w:eastAsia="Calibri"/>
          <w:lang w:eastAsia="en-US"/>
        </w:rPr>
        <w:t xml:space="preserve">avaliação subjetiva da atividade física pelo questionário IPAQ. Sugere-se </w:t>
      </w:r>
      <w:r w:rsidR="00245910">
        <w:rPr>
          <w:rFonts w:eastAsia="Calibri"/>
          <w:lang w:eastAsia="en-US"/>
        </w:rPr>
        <w:t xml:space="preserve">que </w:t>
      </w:r>
      <w:r>
        <w:rPr>
          <w:rFonts w:eastAsia="Calibri"/>
          <w:lang w:eastAsia="en-US"/>
        </w:rPr>
        <w:t>um estudo multicêntrico, com avaliação objetiva da atividade física</w:t>
      </w:r>
      <w:r w:rsidR="00245910">
        <w:rPr>
          <w:rFonts w:eastAsia="Calibri"/>
          <w:lang w:eastAsia="en-US"/>
        </w:rPr>
        <w:t>,</w:t>
      </w:r>
      <w:r>
        <w:rPr>
          <w:rFonts w:eastAsia="Calibri"/>
          <w:lang w:eastAsia="en-US"/>
        </w:rPr>
        <w:t xml:space="preserve"> seja realizado futuramente.</w:t>
      </w:r>
    </w:p>
    <w:p w:rsidR="001250D4" w:rsidRDefault="001250D4" w:rsidP="00125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lang w:eastAsia="en-US"/>
        </w:rPr>
      </w:pPr>
    </w:p>
    <w:p w:rsidR="001250D4" w:rsidRDefault="001250D4" w:rsidP="001250D4">
      <w:pPr>
        <w:pStyle w:val="Pargrafo"/>
        <w:tabs>
          <w:tab w:val="left" w:pos="851"/>
        </w:tabs>
        <w:spacing w:line="360" w:lineRule="auto"/>
        <w:ind w:firstLine="0"/>
        <w:rPr>
          <w:rFonts w:ascii="Times New Roman" w:eastAsia="Calibri" w:hAnsi="Times New Roman"/>
          <w:b/>
          <w:szCs w:val="24"/>
          <w:lang w:eastAsia="en-US"/>
        </w:rPr>
      </w:pPr>
      <w:r>
        <w:rPr>
          <w:rFonts w:ascii="Times New Roman" w:eastAsia="Calibri" w:hAnsi="Times New Roman"/>
          <w:b/>
          <w:szCs w:val="24"/>
          <w:lang w:eastAsia="en-US"/>
        </w:rPr>
        <w:t>CONCLUSÃO</w:t>
      </w:r>
    </w:p>
    <w:p w:rsidR="001250D4" w:rsidRDefault="001250D4" w:rsidP="001250D4">
      <w:pPr>
        <w:pStyle w:val="Pargrafo"/>
        <w:tabs>
          <w:tab w:val="left" w:pos="851"/>
        </w:tabs>
        <w:spacing w:line="360" w:lineRule="auto"/>
        <w:ind w:firstLine="0"/>
        <w:rPr>
          <w:rFonts w:ascii="Times New Roman" w:hAnsi="Times New Roman"/>
        </w:rPr>
      </w:pPr>
    </w:p>
    <w:p w:rsidR="001250D4" w:rsidRDefault="001250D4" w:rsidP="001250D4">
      <w:pPr>
        <w:pStyle w:val="Pargrafo"/>
        <w:spacing w:line="360" w:lineRule="auto"/>
        <w:ind w:firstLine="0"/>
      </w:pPr>
      <w:r>
        <w:rPr>
          <w:rFonts w:ascii="Times New Roman" w:hAnsi="Times New Roman"/>
          <w:bCs/>
        </w:rPr>
        <w:t xml:space="preserve">            Após alta hospitalar, a maioria dos adultos</w:t>
      </w:r>
      <w:r w:rsidR="00245910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  <w:iCs/>
        </w:rPr>
        <w:t xml:space="preserve"> vítimas de queimaduras  moderadas a graves</w:t>
      </w:r>
      <w:r w:rsidR="00245910">
        <w:rPr>
          <w:rFonts w:ascii="Times New Roman" w:hAnsi="Times New Roman"/>
          <w:bCs/>
          <w:iCs/>
        </w:rPr>
        <w:t>,</w:t>
      </w:r>
      <w:r>
        <w:rPr>
          <w:rFonts w:ascii="Times New Roman" w:hAnsi="Times New Roman"/>
          <w:bCs/>
          <w:iCs/>
        </w:rPr>
        <w:t xml:space="preserve"> encontram-se com a sua capacidade aeróbica para o exercício dentro da normalidade, realizando atividades como caminhada</w:t>
      </w:r>
      <w:r w:rsidR="00245910">
        <w:rPr>
          <w:rFonts w:ascii="Times New Roman" w:hAnsi="Times New Roman"/>
          <w:bCs/>
          <w:iCs/>
        </w:rPr>
        <w:t>,</w:t>
      </w:r>
      <w:r>
        <w:rPr>
          <w:rFonts w:ascii="Times New Roman" w:hAnsi="Times New Roman"/>
          <w:bCs/>
          <w:iCs/>
        </w:rPr>
        <w:t xml:space="preserve"> e apresentam dores importantes, algumas </w:t>
      </w:r>
      <w:r w:rsidR="00245910">
        <w:rPr>
          <w:rFonts w:ascii="Times New Roman" w:hAnsi="Times New Roman"/>
          <w:bCs/>
          <w:iCs/>
        </w:rPr>
        <w:t xml:space="preserve">das quais </w:t>
      </w:r>
      <w:r>
        <w:rPr>
          <w:rFonts w:ascii="Times New Roman" w:hAnsi="Times New Roman"/>
          <w:bCs/>
          <w:iCs/>
        </w:rPr>
        <w:t>compromete</w:t>
      </w:r>
      <w:r w:rsidR="00245910">
        <w:rPr>
          <w:rFonts w:ascii="Times New Roman" w:hAnsi="Times New Roman"/>
          <w:bCs/>
          <w:iCs/>
        </w:rPr>
        <w:t>m</w:t>
      </w:r>
      <w:r>
        <w:rPr>
          <w:rFonts w:ascii="Times New Roman" w:hAnsi="Times New Roman"/>
          <w:bCs/>
          <w:iCs/>
        </w:rPr>
        <w:t xml:space="preserve"> a execução de tarefas diárias.</w:t>
      </w:r>
    </w:p>
    <w:p w:rsidR="001250D4" w:rsidRDefault="001250D4" w:rsidP="00125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1250D4" w:rsidRDefault="001250D4" w:rsidP="001250D4">
      <w:pPr>
        <w:pStyle w:val="Pargrafo"/>
        <w:ind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REFERÊNCIAS </w:t>
      </w:r>
    </w:p>
    <w:p w:rsidR="001250D4" w:rsidRDefault="001250D4" w:rsidP="001250D4">
      <w:pPr>
        <w:pStyle w:val="PargrafodaLista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67" w:hanging="284"/>
        <w:jc w:val="both"/>
        <w:rPr>
          <w:lang w:val="en-US"/>
        </w:rPr>
      </w:pPr>
      <w:r>
        <w:rPr>
          <w:lang w:val="en-US"/>
        </w:rPr>
        <w:t xml:space="preserve">ATS Committee on Proficiency Standards for Clinical Pulmonary Function Laboratories. (2002). ATS statement: guidelines for the six-minute walk test. </w:t>
      </w:r>
      <w:proofErr w:type="gramStart"/>
      <w:r>
        <w:rPr>
          <w:lang w:val="en-US"/>
        </w:rPr>
        <w:t>Am</w:t>
      </w:r>
      <w:proofErr w:type="gramEnd"/>
      <w:r>
        <w:rPr>
          <w:lang w:val="en-US"/>
        </w:rPr>
        <w:t xml:space="preserve"> J </w:t>
      </w:r>
      <w:proofErr w:type="spellStart"/>
      <w:r>
        <w:rPr>
          <w:lang w:val="en-US"/>
        </w:rPr>
        <w:t>Respir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Crit</w:t>
      </w:r>
      <w:proofErr w:type="spellEnd"/>
      <w:r>
        <w:rPr>
          <w:lang w:val="en-US"/>
        </w:rPr>
        <w:t xml:space="preserve"> Care Med, 166(1):111-7. </w:t>
      </w:r>
    </w:p>
    <w:p w:rsidR="001250D4" w:rsidRDefault="001250D4" w:rsidP="001250D4">
      <w:pPr>
        <w:pStyle w:val="Pargrafoda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67" w:hanging="284"/>
        <w:jc w:val="both"/>
        <w:rPr>
          <w:lang w:val="en-US"/>
        </w:rPr>
      </w:pPr>
    </w:p>
    <w:p w:rsidR="001250D4" w:rsidRDefault="001250D4" w:rsidP="001250D4">
      <w:pPr>
        <w:pStyle w:val="PargrafodaLista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67" w:hanging="284"/>
        <w:jc w:val="both"/>
        <w:rPr>
          <w:lang w:val="en-US"/>
        </w:rPr>
      </w:pPr>
      <w:r>
        <w:rPr>
          <w:lang w:val="en-US"/>
        </w:rPr>
        <w:t xml:space="preserve">Baldwin, J., &amp; Li, F. (2013). Exercise behaviors and barriers to exercise in adult burn survivors: A questionnaire survey. Burns &amp; Trauma, 3:134-39. </w:t>
      </w:r>
    </w:p>
    <w:p w:rsidR="001250D4" w:rsidRDefault="001250D4" w:rsidP="001250D4">
      <w:pPr>
        <w:pStyle w:val="Pargrafoda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84"/>
        <w:rPr>
          <w:lang w:val="en-US"/>
        </w:rPr>
      </w:pPr>
    </w:p>
    <w:p w:rsidR="001250D4" w:rsidRDefault="001250D4" w:rsidP="001250D4">
      <w:pPr>
        <w:pStyle w:val="PargrafodaLista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67" w:hanging="284"/>
        <w:jc w:val="both"/>
        <w:rPr>
          <w:rFonts w:eastAsia="Calibri"/>
          <w:bCs/>
          <w:lang w:val="en-US" w:eastAsia="en-US"/>
        </w:rPr>
      </w:pPr>
      <w:proofErr w:type="spellStart"/>
      <w:r>
        <w:rPr>
          <w:rFonts w:eastAsia="Calibri"/>
          <w:bCs/>
          <w:lang w:val="en-US" w:eastAsia="en-US"/>
        </w:rPr>
        <w:t>Baur</w:t>
      </w:r>
      <w:proofErr w:type="spellEnd"/>
      <w:r>
        <w:rPr>
          <w:rFonts w:eastAsia="Calibri"/>
          <w:bCs/>
          <w:lang w:val="en-US" w:eastAsia="en-US"/>
        </w:rPr>
        <w:t xml:space="preserve">, K. M., Hardy, P. E., &amp; Van Dorsten, B. (1998). Post-traumatic stress disorder in burn populations: a critical review of the literature. </w:t>
      </w:r>
      <w:r>
        <w:rPr>
          <w:rFonts w:eastAsia="Calibri"/>
          <w:lang w:val="en-US" w:eastAsia="en-US"/>
        </w:rPr>
        <w:t xml:space="preserve">J Burn Care </w:t>
      </w:r>
      <w:proofErr w:type="spellStart"/>
      <w:r>
        <w:rPr>
          <w:rFonts w:eastAsia="Calibri"/>
          <w:lang w:val="en-US" w:eastAsia="en-US"/>
        </w:rPr>
        <w:t>Rehabil</w:t>
      </w:r>
      <w:proofErr w:type="spellEnd"/>
      <w:r>
        <w:rPr>
          <w:rFonts w:eastAsia="Calibri"/>
          <w:lang w:val="en-US" w:eastAsia="en-US"/>
        </w:rPr>
        <w:t xml:space="preserve">, 19:230-40. </w:t>
      </w:r>
    </w:p>
    <w:p w:rsidR="001250D4" w:rsidRDefault="001250D4" w:rsidP="00125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67" w:hanging="284"/>
        <w:jc w:val="both"/>
        <w:rPr>
          <w:lang w:val="en-US"/>
        </w:rPr>
      </w:pPr>
    </w:p>
    <w:p w:rsidR="001250D4" w:rsidRDefault="001250D4" w:rsidP="001250D4">
      <w:pPr>
        <w:pStyle w:val="PargrafodaLista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/>
        <w:ind w:left="567" w:hanging="284"/>
        <w:contextualSpacing/>
        <w:jc w:val="both"/>
        <w:rPr>
          <w:lang w:val="en-US"/>
        </w:rPr>
      </w:pPr>
      <w:r>
        <w:rPr>
          <w:lang w:val="en-US"/>
        </w:rPr>
        <w:t xml:space="preserve">Benjamin, N. C., Andersen, C. R., Herndon, D. N., &amp; </w:t>
      </w:r>
      <w:proofErr w:type="spellStart"/>
      <w:r>
        <w:rPr>
          <w:lang w:val="en-US"/>
        </w:rPr>
        <w:t>Suman</w:t>
      </w:r>
      <w:proofErr w:type="spellEnd"/>
      <w:r>
        <w:rPr>
          <w:lang w:val="en-US"/>
        </w:rPr>
        <w:t>, O. E. (2015). The effect of lower body burns on physical function. Burns, 41(8):1653-9.</w:t>
      </w:r>
    </w:p>
    <w:p w:rsidR="001250D4" w:rsidRDefault="001250D4" w:rsidP="001250D4">
      <w:pPr>
        <w:pStyle w:val="Pargrafoda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84"/>
        <w:rPr>
          <w:lang w:val="en-US"/>
        </w:rPr>
      </w:pPr>
    </w:p>
    <w:p w:rsidR="001250D4" w:rsidRDefault="001250D4" w:rsidP="001250D4">
      <w:pPr>
        <w:pStyle w:val="PargrafodaLista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67" w:hanging="284"/>
        <w:jc w:val="both"/>
        <w:rPr>
          <w:lang w:val="en-US"/>
        </w:rPr>
      </w:pPr>
      <w:r>
        <w:rPr>
          <w:lang w:val="en-US"/>
        </w:rPr>
        <w:t xml:space="preserve">Borg, G. A. (1982) Psychophysical bases of perceived exertion. Med </w:t>
      </w:r>
      <w:proofErr w:type="spellStart"/>
      <w:r>
        <w:rPr>
          <w:lang w:val="en-US"/>
        </w:rPr>
        <w:t>Sci</w:t>
      </w:r>
      <w:proofErr w:type="spellEnd"/>
      <w:r>
        <w:rPr>
          <w:lang w:val="en-US"/>
        </w:rPr>
        <w:t xml:space="preserve"> Sports </w:t>
      </w:r>
      <w:proofErr w:type="spellStart"/>
      <w:r>
        <w:rPr>
          <w:lang w:val="en-US"/>
        </w:rPr>
        <w:t>Exerc</w:t>
      </w:r>
      <w:proofErr w:type="spellEnd"/>
      <w:r>
        <w:rPr>
          <w:lang w:val="en-US"/>
        </w:rPr>
        <w:t xml:space="preserve">, 14(5):377-81. </w:t>
      </w:r>
    </w:p>
    <w:p w:rsidR="001250D4" w:rsidRDefault="001250D4" w:rsidP="00125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67" w:hanging="284"/>
        <w:jc w:val="both"/>
        <w:rPr>
          <w:lang w:val="en-US"/>
        </w:rPr>
      </w:pPr>
    </w:p>
    <w:p w:rsidR="001250D4" w:rsidRDefault="001250D4" w:rsidP="001250D4">
      <w:pPr>
        <w:pStyle w:val="PargrafodaLista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67" w:hanging="284"/>
        <w:jc w:val="both"/>
        <w:rPr>
          <w:lang w:val="en-US"/>
        </w:rPr>
      </w:pPr>
      <w:r>
        <w:t xml:space="preserve">Britto, R. R., </w:t>
      </w:r>
      <w:proofErr w:type="spellStart"/>
      <w:r>
        <w:t>Probst</w:t>
      </w:r>
      <w:proofErr w:type="spellEnd"/>
      <w:r>
        <w:t xml:space="preserve">, V.S., Dornelas de Andrade, A. F., </w:t>
      </w:r>
      <w:proofErr w:type="spellStart"/>
      <w:r>
        <w:t>Samora</w:t>
      </w:r>
      <w:proofErr w:type="spellEnd"/>
      <w:r>
        <w:t xml:space="preserve">, G. A. R., Hernandes, N. A., Marinho, P. E. M.,… </w:t>
      </w:r>
      <w:proofErr w:type="spellStart"/>
      <w:r>
        <w:rPr>
          <w:lang w:val="en-US"/>
        </w:rPr>
        <w:t>Parreira</w:t>
      </w:r>
      <w:proofErr w:type="spellEnd"/>
      <w:r>
        <w:rPr>
          <w:lang w:val="en-US"/>
        </w:rPr>
        <w:t xml:space="preserve">, V. F. (2013). Reference equations for the six-minute walk distance based on a Brazilian multicenter study. </w:t>
      </w:r>
      <w:proofErr w:type="spellStart"/>
      <w:r>
        <w:rPr>
          <w:lang w:val="en-US"/>
        </w:rPr>
        <w:t>Braz</w:t>
      </w:r>
      <w:proofErr w:type="spellEnd"/>
      <w:r>
        <w:rPr>
          <w:lang w:val="en-US"/>
        </w:rPr>
        <w:t xml:space="preserve"> J </w:t>
      </w:r>
      <w:proofErr w:type="spellStart"/>
      <w:r>
        <w:rPr>
          <w:lang w:val="en-US"/>
        </w:rPr>
        <w:t>PhysTher</w:t>
      </w:r>
      <w:proofErr w:type="spellEnd"/>
      <w:r>
        <w:rPr>
          <w:lang w:val="en-US"/>
        </w:rPr>
        <w:t xml:space="preserve">, 17(6):556-563. </w:t>
      </w:r>
    </w:p>
    <w:p w:rsidR="001250D4" w:rsidRDefault="001250D4" w:rsidP="001250D4">
      <w:pPr>
        <w:pStyle w:val="Pargrafoda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84"/>
        <w:rPr>
          <w:lang w:val="en-US"/>
        </w:rPr>
      </w:pPr>
    </w:p>
    <w:p w:rsidR="001250D4" w:rsidRDefault="001250D4" w:rsidP="001250D4">
      <w:pPr>
        <w:pStyle w:val="PargrafodaLista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67" w:hanging="284"/>
        <w:jc w:val="both"/>
        <w:rPr>
          <w:lang w:val="en-US"/>
        </w:rPr>
      </w:pPr>
      <w:proofErr w:type="spellStart"/>
      <w:r>
        <w:rPr>
          <w:lang w:val="en-US"/>
        </w:rPr>
        <w:t>Brusselaers</w:t>
      </w:r>
      <w:proofErr w:type="spellEnd"/>
      <w:r>
        <w:rPr>
          <w:lang w:val="en-US"/>
        </w:rPr>
        <w:t xml:space="preserve">, N., </w:t>
      </w:r>
      <w:proofErr w:type="spellStart"/>
      <w:r>
        <w:rPr>
          <w:lang w:val="en-US"/>
        </w:rPr>
        <w:t>Hoste</w:t>
      </w:r>
      <w:proofErr w:type="spellEnd"/>
      <w:r>
        <w:rPr>
          <w:lang w:val="en-US"/>
        </w:rPr>
        <w:t xml:space="preserve">, E. A., </w:t>
      </w:r>
      <w:proofErr w:type="spellStart"/>
      <w:r>
        <w:rPr>
          <w:lang w:val="en-US"/>
        </w:rPr>
        <w:t>Monstrey</w:t>
      </w:r>
      <w:proofErr w:type="spellEnd"/>
      <w:r>
        <w:rPr>
          <w:lang w:val="en-US"/>
        </w:rPr>
        <w:t>, S.</w:t>
      </w:r>
      <w:proofErr w:type="gramStart"/>
      <w:r>
        <w:rPr>
          <w:lang w:val="en-US"/>
        </w:rPr>
        <w:t xml:space="preserve">,  </w:t>
      </w:r>
      <w:proofErr w:type="spellStart"/>
      <w:r>
        <w:rPr>
          <w:lang w:val="en-US"/>
        </w:rPr>
        <w:t>Colpaert</w:t>
      </w:r>
      <w:proofErr w:type="spellEnd"/>
      <w:proofErr w:type="gramEnd"/>
      <w:r>
        <w:rPr>
          <w:lang w:val="en-US"/>
        </w:rPr>
        <w:t xml:space="preserve">, K., De </w:t>
      </w:r>
      <w:proofErr w:type="spellStart"/>
      <w:r>
        <w:rPr>
          <w:lang w:val="en-US"/>
        </w:rPr>
        <w:t>Waele</w:t>
      </w:r>
      <w:proofErr w:type="spellEnd"/>
      <w:r>
        <w:rPr>
          <w:lang w:val="en-US"/>
        </w:rPr>
        <w:t xml:space="preserve">, J., </w:t>
      </w:r>
      <w:proofErr w:type="spellStart"/>
      <w:r>
        <w:rPr>
          <w:lang w:val="en-US"/>
        </w:rPr>
        <w:t>Vandewoude</w:t>
      </w:r>
      <w:proofErr w:type="spellEnd"/>
      <w:r>
        <w:rPr>
          <w:lang w:val="en-US"/>
        </w:rPr>
        <w:t>, K., &amp; Blot, S. (2005). Outcome and changes over time in survival following severe burns from 1985 to 2004. Intensive Care Med, 31:1648-53.</w:t>
      </w:r>
    </w:p>
    <w:p w:rsidR="001250D4" w:rsidRDefault="001250D4" w:rsidP="001250D4">
      <w:pPr>
        <w:pStyle w:val="Pargrafoda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84"/>
        <w:rPr>
          <w:lang w:val="en-US"/>
        </w:rPr>
      </w:pPr>
    </w:p>
    <w:p w:rsidR="001250D4" w:rsidRDefault="001250D4" w:rsidP="001250D4">
      <w:pPr>
        <w:pStyle w:val="PargrafodaLista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67" w:hanging="284"/>
        <w:jc w:val="both"/>
        <w:rPr>
          <w:lang w:val="en-US"/>
        </w:rPr>
      </w:pPr>
      <w:proofErr w:type="spellStart"/>
      <w:r>
        <w:rPr>
          <w:rFonts w:eastAsia="Calibri"/>
          <w:lang w:val="en-US" w:eastAsia="en-US"/>
        </w:rPr>
        <w:t>Brych</w:t>
      </w:r>
      <w:proofErr w:type="spellEnd"/>
      <w:r>
        <w:rPr>
          <w:rFonts w:eastAsia="Calibri"/>
          <w:lang w:val="en-US" w:eastAsia="en-US"/>
        </w:rPr>
        <w:t xml:space="preserve">, S. B., </w:t>
      </w:r>
      <w:proofErr w:type="spellStart"/>
      <w:r>
        <w:rPr>
          <w:rFonts w:eastAsia="Calibri"/>
          <w:lang w:val="en-US" w:eastAsia="en-US"/>
        </w:rPr>
        <w:t>Engrav</w:t>
      </w:r>
      <w:proofErr w:type="spellEnd"/>
      <w:r>
        <w:rPr>
          <w:rFonts w:eastAsia="Calibri"/>
          <w:lang w:val="en-US" w:eastAsia="en-US"/>
        </w:rPr>
        <w:t xml:space="preserve">, L. H., </w:t>
      </w:r>
      <w:proofErr w:type="spellStart"/>
      <w:r>
        <w:rPr>
          <w:rFonts w:eastAsia="Calibri"/>
          <w:lang w:val="en-US" w:eastAsia="en-US"/>
        </w:rPr>
        <w:t>Rivara</w:t>
      </w:r>
      <w:proofErr w:type="spellEnd"/>
      <w:r>
        <w:rPr>
          <w:rFonts w:eastAsia="Calibri"/>
          <w:lang w:val="en-US" w:eastAsia="en-US"/>
        </w:rPr>
        <w:t xml:space="preserve">, F. P., </w:t>
      </w:r>
      <w:proofErr w:type="spellStart"/>
      <w:r>
        <w:rPr>
          <w:lang w:val="en-US"/>
        </w:rPr>
        <w:t>Ptacek</w:t>
      </w:r>
      <w:proofErr w:type="spellEnd"/>
      <w:r>
        <w:rPr>
          <w:lang w:val="en-US"/>
        </w:rPr>
        <w:t xml:space="preserve">, J. T., </w:t>
      </w:r>
      <w:proofErr w:type="spellStart"/>
      <w:r>
        <w:rPr>
          <w:lang w:val="en-US"/>
        </w:rPr>
        <w:t>Lezotte</w:t>
      </w:r>
      <w:proofErr w:type="spellEnd"/>
      <w:r>
        <w:rPr>
          <w:lang w:val="en-US"/>
        </w:rPr>
        <w:t xml:space="preserve">,  D. C., </w:t>
      </w:r>
      <w:proofErr w:type="spellStart"/>
      <w:r>
        <w:rPr>
          <w:lang w:val="en-US"/>
        </w:rPr>
        <w:t>Esselman</w:t>
      </w:r>
      <w:proofErr w:type="spellEnd"/>
      <w:r>
        <w:rPr>
          <w:lang w:val="en-US"/>
        </w:rPr>
        <w:t xml:space="preserve">, P. C., </w:t>
      </w:r>
      <w:proofErr w:type="spellStart"/>
      <w:r>
        <w:rPr>
          <w:lang w:val="en-US"/>
        </w:rPr>
        <w:t>Kowalske</w:t>
      </w:r>
      <w:proofErr w:type="spellEnd"/>
      <w:r>
        <w:rPr>
          <w:lang w:val="en-US"/>
        </w:rPr>
        <w:t>, K. J., &amp; Gibran</w:t>
      </w:r>
      <w:r>
        <w:rPr>
          <w:rFonts w:eastAsia="Calibri"/>
          <w:lang w:val="en-US" w:eastAsia="en-US"/>
        </w:rPr>
        <w:t xml:space="preserve">, </w:t>
      </w:r>
      <w:r>
        <w:rPr>
          <w:lang w:val="en-US"/>
        </w:rPr>
        <w:t>N. S. (2001)</w:t>
      </w:r>
      <w:r>
        <w:rPr>
          <w:rFonts w:eastAsia="Calibri"/>
          <w:lang w:val="en-US" w:eastAsia="en-US"/>
        </w:rPr>
        <w:t xml:space="preserve">. Time off work and return to work rates after burns: systematic review of the literature and a large two-center series. J Burn Care </w:t>
      </w:r>
      <w:proofErr w:type="spellStart"/>
      <w:r>
        <w:rPr>
          <w:rFonts w:eastAsia="Calibri"/>
          <w:lang w:val="en-US" w:eastAsia="en-US"/>
        </w:rPr>
        <w:t>Rehabil</w:t>
      </w:r>
      <w:proofErr w:type="spellEnd"/>
      <w:r>
        <w:rPr>
          <w:rFonts w:eastAsia="Calibri"/>
          <w:lang w:val="en-US" w:eastAsia="en-US"/>
        </w:rPr>
        <w:t>, 22:401-5.</w:t>
      </w:r>
    </w:p>
    <w:p w:rsidR="001250D4" w:rsidRDefault="001250D4" w:rsidP="00125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67" w:hanging="284"/>
        <w:jc w:val="both"/>
        <w:rPr>
          <w:lang w:val="en-US"/>
        </w:rPr>
      </w:pPr>
    </w:p>
    <w:p w:rsidR="001250D4" w:rsidRDefault="001250D4" w:rsidP="001250D4">
      <w:pPr>
        <w:pStyle w:val="PargrafodaLista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567" w:hanging="284"/>
        <w:jc w:val="both"/>
        <w:rPr>
          <w:bdr w:val="none" w:sz="0" w:space="0" w:color="auto" w:frame="1"/>
          <w:shd w:val="clear" w:color="auto" w:fill="FFFFFF"/>
        </w:rPr>
      </w:pPr>
      <w:proofErr w:type="spellStart"/>
      <w:r>
        <w:rPr>
          <w:rFonts w:eastAsiaTheme="minorHAnsi"/>
          <w:szCs w:val="16"/>
          <w:lang w:val="en-US" w:eastAsia="en-US"/>
        </w:rPr>
        <w:t>Celis</w:t>
      </w:r>
      <w:proofErr w:type="spellEnd"/>
      <w:r>
        <w:rPr>
          <w:rFonts w:eastAsiaTheme="minorHAnsi"/>
          <w:szCs w:val="16"/>
          <w:lang w:val="en-US" w:eastAsia="en-US"/>
        </w:rPr>
        <w:t xml:space="preserve">, M. M., </w:t>
      </w:r>
      <w:proofErr w:type="spellStart"/>
      <w:r>
        <w:rPr>
          <w:rFonts w:eastAsiaTheme="minorHAnsi"/>
          <w:szCs w:val="16"/>
          <w:lang w:val="en-US" w:eastAsia="en-US"/>
        </w:rPr>
        <w:t>Suman</w:t>
      </w:r>
      <w:proofErr w:type="spellEnd"/>
      <w:r>
        <w:rPr>
          <w:rFonts w:eastAsiaTheme="minorHAnsi"/>
          <w:szCs w:val="16"/>
          <w:lang w:val="en-US" w:eastAsia="en-US"/>
        </w:rPr>
        <w:t xml:space="preserve">, O. E., Huang, T. T., Yen, P., &amp; Herndon, D. N. (2003) Effect of a supervised exercise and physiotherapy program on surgical interventions in children with thermal injury. J Burn Care </w:t>
      </w:r>
      <w:proofErr w:type="spellStart"/>
      <w:r>
        <w:rPr>
          <w:rFonts w:eastAsiaTheme="minorHAnsi"/>
          <w:szCs w:val="16"/>
          <w:lang w:val="en-US" w:eastAsia="en-US"/>
        </w:rPr>
        <w:t>Rehabil</w:t>
      </w:r>
      <w:proofErr w:type="spellEnd"/>
      <w:r>
        <w:rPr>
          <w:rFonts w:eastAsiaTheme="minorHAnsi"/>
          <w:szCs w:val="16"/>
          <w:lang w:val="en-US" w:eastAsia="en-US"/>
        </w:rPr>
        <w:t>, 24:57-61</w:t>
      </w:r>
    </w:p>
    <w:p w:rsidR="001250D4" w:rsidRDefault="001250D4" w:rsidP="001250D4">
      <w:pPr>
        <w:pStyle w:val="Pargrafoda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rStyle w:val="a"/>
          <w:lang w:val="en-US"/>
        </w:rPr>
      </w:pPr>
    </w:p>
    <w:p w:rsidR="001250D4" w:rsidRPr="00FE165F" w:rsidRDefault="001250D4" w:rsidP="001250D4">
      <w:pPr>
        <w:pStyle w:val="PargrafodaLista"/>
        <w:numPr>
          <w:ilvl w:val="0"/>
          <w:numId w:val="2"/>
        </w:numPr>
        <w:tabs>
          <w:tab w:val="left" w:pos="0"/>
          <w:tab w:val="left" w:pos="426"/>
        </w:tabs>
        <w:autoSpaceDE w:val="0"/>
        <w:autoSpaceDN w:val="0"/>
        <w:adjustRightInd w:val="0"/>
        <w:ind w:left="567" w:hanging="284"/>
        <w:jc w:val="both"/>
        <w:rPr>
          <w:rStyle w:val="a"/>
          <w:bdr w:val="none" w:sz="0" w:space="0" w:color="auto" w:frame="1"/>
          <w:shd w:val="clear" w:color="auto" w:fill="FFFFFF"/>
          <w:lang w:val="en-US"/>
        </w:rPr>
      </w:pPr>
      <w:r>
        <w:rPr>
          <w:rStyle w:val="a"/>
          <w:bdr w:val="none" w:sz="0" w:space="0" w:color="auto" w:frame="1"/>
          <w:shd w:val="clear" w:color="auto" w:fill="FFFFFF"/>
          <w:lang w:val="en-US"/>
        </w:rPr>
        <w:t xml:space="preserve">CDC Centers for Disease Control and Prevention. (2002). Physical activity levels among </w:t>
      </w:r>
      <w:r>
        <w:rPr>
          <w:rStyle w:val="a"/>
          <w:spacing w:val="15"/>
          <w:bdr w:val="none" w:sz="0" w:space="0" w:color="auto" w:frame="1"/>
          <w:shd w:val="clear" w:color="auto" w:fill="FFFFFF"/>
          <w:lang w:val="en-US"/>
        </w:rPr>
        <w:t>child</w:t>
      </w:r>
      <w:r>
        <w:rPr>
          <w:rStyle w:val="l6"/>
          <w:spacing w:val="15"/>
          <w:bdr w:val="none" w:sz="0" w:space="0" w:color="auto" w:frame="1"/>
          <w:shd w:val="clear" w:color="auto" w:fill="FFFFFF"/>
          <w:lang w:val="en-US"/>
        </w:rPr>
        <w:t>ren aged</w:t>
      </w:r>
      <w:r>
        <w:rPr>
          <w:rStyle w:val="apple-converted-space"/>
          <w:spacing w:val="15"/>
          <w:bdr w:val="none" w:sz="0" w:space="0" w:color="auto" w:frame="1"/>
          <w:shd w:val="clear" w:color="auto" w:fill="FFFFFF"/>
          <w:lang w:val="en-US"/>
        </w:rPr>
        <w:t> </w:t>
      </w:r>
      <w:r>
        <w:rPr>
          <w:rStyle w:val="l6"/>
          <w:spacing w:val="15"/>
          <w:bdr w:val="none" w:sz="0" w:space="0" w:color="auto" w:frame="1"/>
          <w:shd w:val="clear" w:color="auto" w:fill="FFFFFF"/>
          <w:lang w:val="en-US"/>
        </w:rPr>
        <w:t>9-13 years: United</w:t>
      </w:r>
      <w:r>
        <w:rPr>
          <w:rStyle w:val="apple-converted-space"/>
          <w:spacing w:val="15"/>
          <w:bdr w:val="none" w:sz="0" w:space="0" w:color="auto" w:frame="1"/>
          <w:shd w:val="clear" w:color="auto" w:fill="FFFFFF"/>
          <w:lang w:val="en-US"/>
        </w:rPr>
        <w:t> </w:t>
      </w:r>
      <w:r>
        <w:rPr>
          <w:rStyle w:val="l6"/>
          <w:spacing w:val="15"/>
          <w:bdr w:val="none" w:sz="0" w:space="0" w:color="auto" w:frame="1"/>
          <w:shd w:val="clear" w:color="auto" w:fill="FFFFFF"/>
          <w:lang w:val="en-US"/>
        </w:rPr>
        <w:t>States,</w:t>
      </w:r>
      <w:r>
        <w:rPr>
          <w:rStyle w:val="apple-converted-space"/>
          <w:spacing w:val="15"/>
          <w:bdr w:val="none" w:sz="0" w:space="0" w:color="auto" w:frame="1"/>
          <w:shd w:val="clear" w:color="auto" w:fill="FFFFFF"/>
          <w:lang w:val="en-US"/>
        </w:rPr>
        <w:t> </w:t>
      </w:r>
      <w:r>
        <w:rPr>
          <w:rStyle w:val="l6"/>
          <w:spacing w:val="15"/>
          <w:bdr w:val="none" w:sz="0" w:space="0" w:color="auto" w:frame="1"/>
          <w:shd w:val="clear" w:color="auto" w:fill="FFFFFF"/>
          <w:lang w:val="en-US"/>
        </w:rPr>
        <w:t>2002.</w:t>
      </w:r>
      <w:r>
        <w:rPr>
          <w:rStyle w:val="apple-converted-space"/>
          <w:spacing w:val="15"/>
          <w:bdr w:val="none" w:sz="0" w:space="0" w:color="auto" w:frame="1"/>
          <w:shd w:val="clear" w:color="auto" w:fill="FFFFFF"/>
          <w:lang w:val="en-US"/>
        </w:rPr>
        <w:t> </w:t>
      </w:r>
      <w:r>
        <w:rPr>
          <w:rStyle w:val="l6"/>
          <w:spacing w:val="15"/>
          <w:bdr w:val="none" w:sz="0" w:space="0" w:color="auto" w:frame="1"/>
          <w:shd w:val="clear" w:color="auto" w:fill="FFFFFF"/>
          <w:lang w:val="en-US"/>
        </w:rPr>
        <w:t>Atlanta.</w:t>
      </w:r>
      <w:r>
        <w:rPr>
          <w:rStyle w:val="apple-converted-space"/>
          <w:spacing w:val="15"/>
          <w:bdr w:val="none" w:sz="0" w:space="0" w:color="auto" w:frame="1"/>
          <w:shd w:val="clear" w:color="auto" w:fill="FFFFFF"/>
          <w:lang w:val="en-US"/>
        </w:rPr>
        <w:t> </w:t>
      </w:r>
    </w:p>
    <w:p w:rsidR="001250D4" w:rsidRPr="00FE165F" w:rsidRDefault="001250D4" w:rsidP="001250D4">
      <w:pPr>
        <w:pStyle w:val="Pargrafoda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84"/>
        <w:rPr>
          <w:lang w:val="en-US"/>
        </w:rPr>
      </w:pPr>
    </w:p>
    <w:p w:rsidR="001250D4" w:rsidRDefault="001250D4" w:rsidP="001250D4">
      <w:pPr>
        <w:pStyle w:val="PargrafodaLista"/>
        <w:numPr>
          <w:ilvl w:val="0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ind w:left="567" w:hanging="284"/>
        <w:jc w:val="both"/>
        <w:rPr>
          <w:lang w:val="en-US"/>
        </w:rPr>
      </w:pPr>
      <w:proofErr w:type="spellStart"/>
      <w:r>
        <w:rPr>
          <w:lang w:val="en-US"/>
        </w:rPr>
        <w:t>Choinière</w:t>
      </w:r>
      <w:proofErr w:type="spellEnd"/>
      <w:r>
        <w:rPr>
          <w:lang w:val="en-US"/>
        </w:rPr>
        <w:t xml:space="preserve">, M. (1994). Pain of burns. In: Wall, P.D., &amp; </w:t>
      </w:r>
      <w:proofErr w:type="spellStart"/>
      <w:r>
        <w:rPr>
          <w:lang w:val="en-US"/>
        </w:rPr>
        <w:t>Melzack</w:t>
      </w:r>
      <w:proofErr w:type="spellEnd"/>
      <w:r>
        <w:rPr>
          <w:lang w:val="en-US"/>
        </w:rPr>
        <w:t>, R., editors. Textbook of pain, third edition. New York: Churchill Livingstone, 523–37.</w:t>
      </w:r>
    </w:p>
    <w:p w:rsidR="001250D4" w:rsidRDefault="001250D4" w:rsidP="001250D4">
      <w:pPr>
        <w:pStyle w:val="Pargrafoda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lang w:val="en-US"/>
        </w:rPr>
      </w:pPr>
    </w:p>
    <w:p w:rsidR="001250D4" w:rsidRDefault="001250D4" w:rsidP="001250D4">
      <w:pPr>
        <w:pStyle w:val="PargrafodaLista"/>
        <w:numPr>
          <w:ilvl w:val="0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ind w:left="567" w:hanging="284"/>
        <w:jc w:val="both"/>
        <w:rPr>
          <w:lang w:val="en-US"/>
        </w:rPr>
      </w:pPr>
      <w:r>
        <w:rPr>
          <w:lang w:val="en-US"/>
        </w:rPr>
        <w:t xml:space="preserve">Collins, S., Moore, R. A., &amp; </w:t>
      </w:r>
      <w:proofErr w:type="spellStart"/>
      <w:r>
        <w:rPr>
          <w:lang w:val="en-US"/>
        </w:rPr>
        <w:t>McQuay</w:t>
      </w:r>
      <w:proofErr w:type="spellEnd"/>
      <w:r>
        <w:rPr>
          <w:lang w:val="en-US"/>
        </w:rPr>
        <w:t xml:space="preserve">, H. J. (1997).The visual analogue pain intensity scale: What is moderate pain in </w:t>
      </w:r>
      <w:proofErr w:type="spellStart"/>
      <w:r>
        <w:rPr>
          <w:lang w:val="en-US"/>
        </w:rPr>
        <w:t>millimetres</w:t>
      </w:r>
      <w:proofErr w:type="spellEnd"/>
      <w:r>
        <w:rPr>
          <w:lang w:val="en-US"/>
        </w:rPr>
        <w:t>? Pain, 72:95-7.</w:t>
      </w:r>
    </w:p>
    <w:p w:rsidR="001250D4" w:rsidRDefault="001250D4" w:rsidP="001250D4">
      <w:pPr>
        <w:pStyle w:val="Pargrafoda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84"/>
        <w:rPr>
          <w:rStyle w:val="a"/>
          <w:bdr w:val="none" w:sz="0" w:space="0" w:color="auto" w:frame="1"/>
          <w:shd w:val="clear" w:color="auto" w:fill="FFFFFF"/>
        </w:rPr>
      </w:pPr>
    </w:p>
    <w:p w:rsidR="001250D4" w:rsidRDefault="001250D4" w:rsidP="001250D4">
      <w:pPr>
        <w:pStyle w:val="PargrafodaLista"/>
        <w:numPr>
          <w:ilvl w:val="0"/>
          <w:numId w:val="2"/>
        </w:numPr>
        <w:tabs>
          <w:tab w:val="left" w:pos="0"/>
          <w:tab w:val="left" w:pos="426"/>
        </w:tabs>
        <w:autoSpaceDE w:val="0"/>
        <w:autoSpaceDN w:val="0"/>
        <w:adjustRightInd w:val="0"/>
        <w:ind w:left="567" w:hanging="284"/>
        <w:jc w:val="both"/>
        <w:rPr>
          <w:rStyle w:val="a"/>
          <w:bdr w:val="none" w:sz="0" w:space="0" w:color="auto" w:frame="1"/>
          <w:shd w:val="clear" w:color="auto" w:fill="FFFFFF"/>
          <w:lang w:val="en-US"/>
        </w:rPr>
      </w:pPr>
      <w:r>
        <w:rPr>
          <w:rStyle w:val="a"/>
          <w:bdr w:val="none" w:sz="0" w:space="0" w:color="auto" w:frame="1"/>
          <w:shd w:val="clear" w:color="auto" w:fill="FFFFFF"/>
          <w:lang w:val="en-US"/>
        </w:rPr>
        <w:t xml:space="preserve">Craig, C. L., </w:t>
      </w:r>
      <w:r>
        <w:rPr>
          <w:lang w:val="en-US"/>
        </w:rPr>
        <w:t xml:space="preserve">Marshall, A. L., </w:t>
      </w:r>
      <w:proofErr w:type="spellStart"/>
      <w:r>
        <w:rPr>
          <w:lang w:val="en-US"/>
        </w:rPr>
        <w:t>Sjöström</w:t>
      </w:r>
      <w:proofErr w:type="spellEnd"/>
      <w:r>
        <w:rPr>
          <w:lang w:val="en-US"/>
        </w:rPr>
        <w:t xml:space="preserve">, M., Bauman, A. E., Booth, M. L., Ainsworth, B. E., Pratt, M., </w:t>
      </w:r>
      <w:proofErr w:type="spellStart"/>
      <w:r>
        <w:rPr>
          <w:lang w:val="en-US"/>
        </w:rPr>
        <w:t>Ekelund</w:t>
      </w:r>
      <w:proofErr w:type="spellEnd"/>
      <w:r>
        <w:rPr>
          <w:lang w:val="en-US"/>
        </w:rPr>
        <w:t xml:space="preserve">, U., </w:t>
      </w:r>
      <w:proofErr w:type="spellStart"/>
      <w:r>
        <w:rPr>
          <w:lang w:val="en-US"/>
        </w:rPr>
        <w:t>Yngve</w:t>
      </w:r>
      <w:proofErr w:type="spellEnd"/>
      <w:r>
        <w:rPr>
          <w:lang w:val="en-US"/>
        </w:rPr>
        <w:t xml:space="preserve">, A., </w:t>
      </w:r>
      <w:proofErr w:type="spellStart"/>
      <w:r>
        <w:rPr>
          <w:lang w:val="en-US"/>
        </w:rPr>
        <w:t>Sallis</w:t>
      </w:r>
      <w:proofErr w:type="spellEnd"/>
      <w:r>
        <w:rPr>
          <w:lang w:val="en-US"/>
        </w:rPr>
        <w:t xml:space="preserve">, J. F., &amp; </w:t>
      </w:r>
      <w:proofErr w:type="spellStart"/>
      <w:r>
        <w:rPr>
          <w:lang w:val="en-US"/>
        </w:rPr>
        <w:t>Oja</w:t>
      </w:r>
      <w:proofErr w:type="spellEnd"/>
      <w:r>
        <w:rPr>
          <w:lang w:val="en-US"/>
        </w:rPr>
        <w:t xml:space="preserve">, P. </w:t>
      </w:r>
      <w:r>
        <w:rPr>
          <w:lang w:val="en-US"/>
        </w:rPr>
        <w:lastRenderedPageBreak/>
        <w:t xml:space="preserve">(2003). </w:t>
      </w:r>
      <w:r>
        <w:rPr>
          <w:rStyle w:val="a"/>
          <w:bdr w:val="none" w:sz="0" w:space="0" w:color="auto" w:frame="1"/>
          <w:shd w:val="clear" w:color="auto" w:fill="FFFFFF"/>
          <w:lang w:val="en-US"/>
        </w:rPr>
        <w:t>International Physical Activity Questionnaire: 12- country reliability and validity. Med Science Sports</w:t>
      </w:r>
      <w:r>
        <w:rPr>
          <w:rStyle w:val="apple-converted-space"/>
          <w:bdr w:val="none" w:sz="0" w:space="0" w:color="auto" w:frame="1"/>
          <w:shd w:val="clear" w:color="auto" w:fill="FFFFFF"/>
          <w:lang w:val="en-US"/>
        </w:rPr>
        <w:t> </w:t>
      </w:r>
      <w:r>
        <w:rPr>
          <w:rStyle w:val="a"/>
          <w:bdr w:val="none" w:sz="0" w:space="0" w:color="auto" w:frame="1"/>
          <w:shd w:val="clear" w:color="auto" w:fill="FFFFFF"/>
          <w:lang w:val="en-US"/>
        </w:rPr>
        <w:t>Exercise, 35:1381-95.</w:t>
      </w:r>
    </w:p>
    <w:p w:rsidR="001250D4" w:rsidRPr="001250D4" w:rsidRDefault="001250D4" w:rsidP="001250D4">
      <w:pPr>
        <w:pStyle w:val="Pargrafoda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67" w:hanging="284"/>
        <w:rPr>
          <w:lang w:val="en-US"/>
        </w:rPr>
      </w:pPr>
    </w:p>
    <w:p w:rsidR="001250D4" w:rsidRDefault="001250D4" w:rsidP="007351EA">
      <w:pPr>
        <w:pStyle w:val="PargrafodaLista"/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67" w:hanging="284"/>
        <w:jc w:val="both"/>
        <w:rPr>
          <w:lang w:val="en-US"/>
        </w:rPr>
      </w:pPr>
      <w:r>
        <w:rPr>
          <w:rFonts w:eastAsia="Calibri"/>
          <w:lang w:val="en-US" w:eastAsia="en-US"/>
        </w:rPr>
        <w:t xml:space="preserve">Dauber, A., Osgood, P. F., Breslau, A. J., Vernon, H. L., &amp; Carr, D. B. (2002). Chronic persistent pain after severe burns: A survey of 358 burn survivors. Pain Medicine, 3:6–17. </w:t>
      </w:r>
    </w:p>
    <w:p w:rsidR="001250D4" w:rsidRDefault="001250D4" w:rsidP="007351EA">
      <w:pPr>
        <w:pStyle w:val="PargrafodaLista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67" w:hanging="284"/>
        <w:jc w:val="both"/>
        <w:rPr>
          <w:i/>
          <w:lang w:val="en-US"/>
        </w:rPr>
      </w:pPr>
    </w:p>
    <w:p w:rsidR="001250D4" w:rsidRDefault="001250D4" w:rsidP="007351EA">
      <w:pPr>
        <w:pStyle w:val="PargrafodaLista"/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67" w:hanging="284"/>
        <w:jc w:val="both"/>
        <w:rPr>
          <w:rFonts w:eastAsia="Calibri"/>
          <w:bCs/>
          <w:lang w:val="en-US" w:eastAsia="en-US"/>
        </w:rPr>
      </w:pPr>
      <w:r>
        <w:rPr>
          <w:rFonts w:eastAsia="Calibri"/>
          <w:bCs/>
          <w:lang w:eastAsia="en-US"/>
        </w:rPr>
        <w:t xml:space="preserve">Diego, A. M., </w:t>
      </w:r>
      <w:proofErr w:type="spellStart"/>
      <w:r>
        <w:rPr>
          <w:rFonts w:eastAsia="Calibri"/>
          <w:bCs/>
          <w:lang w:eastAsia="en-US"/>
        </w:rPr>
        <w:t>Serghiou</w:t>
      </w:r>
      <w:proofErr w:type="spellEnd"/>
      <w:r>
        <w:rPr>
          <w:rFonts w:eastAsia="Calibri"/>
          <w:bCs/>
          <w:lang w:eastAsia="en-US"/>
        </w:rPr>
        <w:t xml:space="preserve">, M., </w:t>
      </w:r>
      <w:proofErr w:type="spellStart"/>
      <w:r>
        <w:rPr>
          <w:rFonts w:eastAsia="Calibri"/>
          <w:bCs/>
          <w:lang w:eastAsia="en-US"/>
        </w:rPr>
        <w:t>Padmanabha</w:t>
      </w:r>
      <w:proofErr w:type="spellEnd"/>
      <w:r>
        <w:rPr>
          <w:rFonts w:eastAsia="Calibri"/>
          <w:bCs/>
          <w:lang w:eastAsia="en-US"/>
        </w:rPr>
        <w:t>, A., Porro, L. J</w:t>
      </w:r>
      <w:proofErr w:type="gramStart"/>
      <w:r>
        <w:rPr>
          <w:rFonts w:eastAsia="Calibri"/>
          <w:bCs/>
          <w:lang w:eastAsia="en-US"/>
        </w:rPr>
        <w:t>.,</w:t>
      </w:r>
      <w:proofErr w:type="gramEnd"/>
      <w:r>
        <w:rPr>
          <w:rFonts w:eastAsia="Calibri"/>
          <w:bCs/>
          <w:lang w:eastAsia="en-US"/>
        </w:rPr>
        <w:t xml:space="preserve"> </w:t>
      </w:r>
      <w:proofErr w:type="spellStart"/>
      <w:r>
        <w:rPr>
          <w:rFonts w:eastAsia="Calibri"/>
          <w:bCs/>
          <w:lang w:eastAsia="en-US"/>
        </w:rPr>
        <w:t>Herndon</w:t>
      </w:r>
      <w:proofErr w:type="spellEnd"/>
      <w:r>
        <w:rPr>
          <w:rFonts w:eastAsia="Calibri"/>
          <w:bCs/>
          <w:lang w:eastAsia="en-US"/>
        </w:rPr>
        <w:t xml:space="preserve">, D. N., </w:t>
      </w:r>
      <w:proofErr w:type="spellStart"/>
      <w:r>
        <w:rPr>
          <w:rFonts w:eastAsia="Calibri"/>
          <w:bCs/>
          <w:lang w:eastAsia="en-US"/>
        </w:rPr>
        <w:t>Suman</w:t>
      </w:r>
      <w:proofErr w:type="spellEnd"/>
      <w:r>
        <w:rPr>
          <w:rFonts w:eastAsia="Calibri"/>
          <w:bCs/>
          <w:lang w:eastAsia="en-US"/>
        </w:rPr>
        <w:t xml:space="preserve">, O. E. (2013). </w:t>
      </w:r>
      <w:r>
        <w:rPr>
          <w:rFonts w:eastAsia="Calibri"/>
          <w:bCs/>
          <w:lang w:val="en-US" w:eastAsia="en-US"/>
        </w:rPr>
        <w:t>Exercise training after burn injury: A survey of practice. J Burn Care Res, 34:311–17.</w:t>
      </w:r>
    </w:p>
    <w:p w:rsidR="001250D4" w:rsidRDefault="001250D4" w:rsidP="007351EA">
      <w:pPr>
        <w:pStyle w:val="PargrafodaLista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84"/>
        <w:rPr>
          <w:rFonts w:eastAsia="Calibri"/>
          <w:lang w:val="en-US" w:eastAsia="en-US"/>
        </w:rPr>
      </w:pPr>
    </w:p>
    <w:p w:rsidR="001250D4" w:rsidRDefault="001250D4" w:rsidP="007351EA">
      <w:pPr>
        <w:pStyle w:val="PargrafodaLista"/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67" w:hanging="284"/>
        <w:jc w:val="both"/>
        <w:rPr>
          <w:lang w:val="en-US"/>
        </w:rPr>
      </w:pPr>
      <w:proofErr w:type="spellStart"/>
      <w:r>
        <w:rPr>
          <w:rFonts w:eastAsia="Calibri"/>
          <w:lang w:eastAsia="en-US"/>
        </w:rPr>
        <w:t>Disseldorp</w:t>
      </w:r>
      <w:proofErr w:type="spellEnd"/>
      <w:r>
        <w:rPr>
          <w:rFonts w:eastAsia="Calibri"/>
          <w:lang w:eastAsia="en-US"/>
        </w:rPr>
        <w:t xml:space="preserve">, L. M., </w:t>
      </w:r>
      <w:proofErr w:type="spellStart"/>
      <w:r>
        <w:rPr>
          <w:rFonts w:eastAsia="Calibri"/>
          <w:lang w:eastAsia="en-US"/>
        </w:rPr>
        <w:t>Nieuwenhuis</w:t>
      </w:r>
      <w:proofErr w:type="spellEnd"/>
      <w:r>
        <w:rPr>
          <w:rFonts w:eastAsia="Calibri"/>
          <w:lang w:eastAsia="en-US"/>
        </w:rPr>
        <w:t>, M. K</w:t>
      </w:r>
      <w:proofErr w:type="gramStart"/>
      <w:r>
        <w:rPr>
          <w:rFonts w:eastAsia="Calibri"/>
          <w:lang w:eastAsia="en-US"/>
        </w:rPr>
        <w:t>.,</w:t>
      </w:r>
      <w:proofErr w:type="gramEnd"/>
      <w:r>
        <w:rPr>
          <w:rFonts w:eastAsia="Calibri"/>
          <w:lang w:eastAsia="en-US"/>
        </w:rPr>
        <w:t xml:space="preserve"> Van </w:t>
      </w:r>
      <w:proofErr w:type="spellStart"/>
      <w:r>
        <w:rPr>
          <w:rFonts w:eastAsia="Calibri"/>
          <w:lang w:eastAsia="en-US"/>
        </w:rPr>
        <w:t>Baar</w:t>
      </w:r>
      <w:proofErr w:type="spellEnd"/>
      <w:r>
        <w:rPr>
          <w:rFonts w:eastAsia="Calibri"/>
          <w:lang w:eastAsia="en-US"/>
        </w:rPr>
        <w:t xml:space="preserve">, M. E., </w:t>
      </w:r>
      <w:proofErr w:type="spellStart"/>
      <w:r>
        <w:rPr>
          <w:rFonts w:eastAsia="Calibri"/>
          <w:lang w:eastAsia="en-US"/>
        </w:rPr>
        <w:t>Mouton</w:t>
      </w:r>
      <w:proofErr w:type="spellEnd"/>
      <w:r>
        <w:rPr>
          <w:rFonts w:eastAsia="Calibri"/>
          <w:lang w:eastAsia="en-US"/>
        </w:rPr>
        <w:t xml:space="preserve">, L. J. (2011). </w:t>
      </w:r>
      <w:r>
        <w:rPr>
          <w:rFonts w:eastAsia="Calibri"/>
          <w:lang w:val="en-US" w:eastAsia="en-US"/>
        </w:rPr>
        <w:t xml:space="preserve">Physical fitness in people after burn injury: a systematic review. Arch </w:t>
      </w:r>
      <w:proofErr w:type="spellStart"/>
      <w:r>
        <w:rPr>
          <w:rFonts w:eastAsia="Calibri"/>
          <w:lang w:val="en-US" w:eastAsia="en-US"/>
        </w:rPr>
        <w:t>Phys</w:t>
      </w:r>
      <w:proofErr w:type="spellEnd"/>
      <w:r>
        <w:rPr>
          <w:rFonts w:eastAsia="Calibri"/>
          <w:lang w:val="en-US" w:eastAsia="en-US"/>
        </w:rPr>
        <w:t xml:space="preserve"> Med </w:t>
      </w:r>
      <w:proofErr w:type="spellStart"/>
      <w:r>
        <w:rPr>
          <w:rFonts w:eastAsia="Calibri"/>
          <w:lang w:val="en-US" w:eastAsia="en-US"/>
        </w:rPr>
        <w:t>Rehabil</w:t>
      </w:r>
      <w:proofErr w:type="spellEnd"/>
      <w:r>
        <w:rPr>
          <w:rFonts w:eastAsia="Calibri"/>
          <w:lang w:val="en-US" w:eastAsia="en-US"/>
        </w:rPr>
        <w:t>, 92:1501–10.</w:t>
      </w:r>
    </w:p>
    <w:p w:rsidR="001250D4" w:rsidRDefault="001250D4" w:rsidP="007351EA">
      <w:pPr>
        <w:pStyle w:val="PargrafodaLista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84"/>
        <w:rPr>
          <w:rFonts w:eastAsia="Calibri"/>
          <w:bCs/>
          <w:lang w:val="en-US" w:eastAsia="en-US"/>
        </w:rPr>
      </w:pPr>
    </w:p>
    <w:p w:rsidR="001250D4" w:rsidRDefault="001250D4" w:rsidP="007351EA">
      <w:pPr>
        <w:pStyle w:val="PargrafodaLista"/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67" w:hanging="284"/>
        <w:jc w:val="both"/>
        <w:rPr>
          <w:rFonts w:eastAsia="Calibri"/>
          <w:bCs/>
          <w:lang w:val="en-US" w:eastAsia="en-US"/>
        </w:rPr>
      </w:pPr>
      <w:proofErr w:type="spellStart"/>
      <w:r>
        <w:rPr>
          <w:lang w:val="en-US"/>
        </w:rPr>
        <w:t>Dyster-Aas</w:t>
      </w:r>
      <w:proofErr w:type="spellEnd"/>
      <w:r>
        <w:rPr>
          <w:lang w:val="en-US"/>
        </w:rPr>
        <w:t xml:space="preserve">, J., </w:t>
      </w:r>
      <w:proofErr w:type="spellStart"/>
      <w:r>
        <w:rPr>
          <w:lang w:val="en-US"/>
        </w:rPr>
        <w:t>Kildal</w:t>
      </w:r>
      <w:proofErr w:type="spellEnd"/>
      <w:r>
        <w:rPr>
          <w:lang w:val="en-US"/>
        </w:rPr>
        <w:t xml:space="preserve">, M., &amp; </w:t>
      </w:r>
      <w:proofErr w:type="spellStart"/>
      <w:r>
        <w:rPr>
          <w:lang w:val="en-US"/>
        </w:rPr>
        <w:t>Willebrand</w:t>
      </w:r>
      <w:proofErr w:type="spellEnd"/>
      <w:r>
        <w:rPr>
          <w:lang w:val="en-US"/>
        </w:rPr>
        <w:t xml:space="preserve">, M. (2007). Return to work and health-related quality of life after burn injury. J </w:t>
      </w:r>
      <w:proofErr w:type="spellStart"/>
      <w:r>
        <w:rPr>
          <w:lang w:val="en-US"/>
        </w:rPr>
        <w:t>Rehabil</w:t>
      </w:r>
      <w:proofErr w:type="spellEnd"/>
      <w:r>
        <w:rPr>
          <w:lang w:val="en-US"/>
        </w:rPr>
        <w:t xml:space="preserve"> Med, 39(1):49–55.</w:t>
      </w:r>
    </w:p>
    <w:p w:rsidR="001250D4" w:rsidRDefault="001250D4" w:rsidP="007351EA">
      <w:pPr>
        <w:pStyle w:val="PargrafodaLista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84"/>
        <w:rPr>
          <w:rFonts w:eastAsia="Calibri"/>
          <w:bCs/>
          <w:lang w:val="en-US" w:eastAsia="en-US"/>
        </w:rPr>
      </w:pPr>
    </w:p>
    <w:p w:rsidR="001250D4" w:rsidRDefault="001250D4" w:rsidP="007351EA">
      <w:pPr>
        <w:pStyle w:val="PargrafodaLista"/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67" w:hanging="284"/>
        <w:jc w:val="both"/>
        <w:rPr>
          <w:szCs w:val="22"/>
          <w:lang w:val="en-US"/>
        </w:rPr>
      </w:pPr>
      <w:proofErr w:type="spellStart"/>
      <w:r>
        <w:rPr>
          <w:lang w:val="en-US"/>
        </w:rPr>
        <w:t>Elsherbiny</w:t>
      </w:r>
      <w:proofErr w:type="spellEnd"/>
      <w:r>
        <w:rPr>
          <w:lang w:val="en-US"/>
        </w:rPr>
        <w:t>, O. E., Salem, M. A., El-</w:t>
      </w:r>
      <w:proofErr w:type="spellStart"/>
      <w:r>
        <w:rPr>
          <w:lang w:val="en-US"/>
        </w:rPr>
        <w:t>Sabbagh</w:t>
      </w:r>
      <w:proofErr w:type="spellEnd"/>
      <w:r>
        <w:rPr>
          <w:lang w:val="en-US"/>
        </w:rPr>
        <w:t xml:space="preserve">, A. H., </w:t>
      </w:r>
      <w:proofErr w:type="spellStart"/>
      <w:r>
        <w:rPr>
          <w:lang w:val="en-US"/>
        </w:rPr>
        <w:t>Elhadidy</w:t>
      </w:r>
      <w:proofErr w:type="spellEnd"/>
      <w:r>
        <w:rPr>
          <w:lang w:val="en-US"/>
        </w:rPr>
        <w:t xml:space="preserve">, M. R., &amp; </w:t>
      </w:r>
      <w:proofErr w:type="spellStart"/>
      <w:r>
        <w:rPr>
          <w:lang w:val="en-US"/>
        </w:rPr>
        <w:t>Eldeen</w:t>
      </w:r>
      <w:proofErr w:type="spellEnd"/>
      <w:r>
        <w:rPr>
          <w:lang w:val="en-US"/>
        </w:rPr>
        <w:t xml:space="preserve"> S. M. (2011). Quality of life of adult patients with severe burns. Burns, 37:776–89.</w:t>
      </w:r>
    </w:p>
    <w:p w:rsidR="001250D4" w:rsidRDefault="001250D4" w:rsidP="007351EA">
      <w:pPr>
        <w:pStyle w:val="PargrafodaLista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84"/>
        <w:rPr>
          <w:lang w:val="en-US"/>
        </w:rPr>
      </w:pPr>
    </w:p>
    <w:p w:rsidR="001250D4" w:rsidRDefault="001250D4" w:rsidP="007351EA">
      <w:pPr>
        <w:pStyle w:val="PargrafodaLista"/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67" w:hanging="284"/>
        <w:jc w:val="both"/>
        <w:rPr>
          <w:lang w:val="en-US"/>
        </w:rPr>
      </w:pPr>
      <w:proofErr w:type="spellStart"/>
      <w:r>
        <w:rPr>
          <w:rFonts w:eastAsia="Calibri"/>
          <w:lang w:val="en-US" w:eastAsia="en-US"/>
        </w:rPr>
        <w:t>Esselman</w:t>
      </w:r>
      <w:proofErr w:type="spellEnd"/>
      <w:r>
        <w:rPr>
          <w:rFonts w:eastAsia="Calibri"/>
          <w:lang w:val="en-US" w:eastAsia="en-US"/>
        </w:rPr>
        <w:t xml:space="preserve">, P. C., </w:t>
      </w:r>
      <w:proofErr w:type="spellStart"/>
      <w:r>
        <w:rPr>
          <w:rFonts w:eastAsia="Calibri"/>
          <w:lang w:val="en-US" w:eastAsia="en-US"/>
        </w:rPr>
        <w:t>Wiechman</w:t>
      </w:r>
      <w:proofErr w:type="spellEnd"/>
      <w:r>
        <w:rPr>
          <w:rFonts w:eastAsia="Calibri"/>
          <w:lang w:val="en-US" w:eastAsia="en-US"/>
        </w:rPr>
        <w:t xml:space="preserve">, A. S., </w:t>
      </w:r>
      <w:proofErr w:type="spellStart"/>
      <w:r>
        <w:rPr>
          <w:rFonts w:eastAsia="Calibri"/>
          <w:lang w:val="en-US" w:eastAsia="en-US"/>
        </w:rPr>
        <w:t>Carrougher</w:t>
      </w:r>
      <w:proofErr w:type="spellEnd"/>
      <w:r>
        <w:rPr>
          <w:rFonts w:eastAsia="Calibri"/>
          <w:lang w:val="en-US" w:eastAsia="en-US"/>
        </w:rPr>
        <w:t xml:space="preserve">, G. J., </w:t>
      </w:r>
      <w:proofErr w:type="spellStart"/>
      <w:r>
        <w:rPr>
          <w:rFonts w:eastAsia="Calibri"/>
          <w:lang w:val="en-US" w:eastAsia="en-US"/>
        </w:rPr>
        <w:t>Lezotte</w:t>
      </w:r>
      <w:proofErr w:type="spellEnd"/>
      <w:r>
        <w:rPr>
          <w:rFonts w:eastAsia="Calibri"/>
          <w:lang w:val="en-US" w:eastAsia="en-US"/>
        </w:rPr>
        <w:t xml:space="preserve">, D. C., </w:t>
      </w:r>
      <w:proofErr w:type="spellStart"/>
      <w:r>
        <w:rPr>
          <w:rFonts w:eastAsia="Calibri"/>
          <w:lang w:val="en-US" w:eastAsia="en-US"/>
        </w:rPr>
        <w:t>Holavanahalli</w:t>
      </w:r>
      <w:proofErr w:type="spellEnd"/>
      <w:r>
        <w:rPr>
          <w:rFonts w:eastAsia="Calibri"/>
          <w:lang w:val="en-US" w:eastAsia="en-US"/>
        </w:rPr>
        <w:t xml:space="preserve">,  R. K., Magyar-Russell, G., </w:t>
      </w:r>
      <w:proofErr w:type="spellStart"/>
      <w:r>
        <w:rPr>
          <w:rFonts w:eastAsia="Calibri"/>
          <w:lang w:val="en-US" w:eastAsia="en-US"/>
        </w:rPr>
        <w:t>Fauerbach</w:t>
      </w:r>
      <w:proofErr w:type="spellEnd"/>
      <w:r>
        <w:rPr>
          <w:rFonts w:eastAsia="Calibri"/>
          <w:lang w:val="en-US" w:eastAsia="en-US"/>
        </w:rPr>
        <w:t xml:space="preserve">, J. A., &amp; </w:t>
      </w:r>
      <w:proofErr w:type="spellStart"/>
      <w:r>
        <w:rPr>
          <w:rFonts w:eastAsia="Calibri"/>
          <w:lang w:val="en-US" w:eastAsia="en-US"/>
        </w:rPr>
        <w:t>Engrav</w:t>
      </w:r>
      <w:proofErr w:type="spellEnd"/>
      <w:r>
        <w:rPr>
          <w:rFonts w:eastAsia="Calibri"/>
          <w:lang w:val="en-US" w:eastAsia="en-US"/>
        </w:rPr>
        <w:t xml:space="preserve">, L. H. (2007). Barriers to return to work after burn injuries. Arch </w:t>
      </w:r>
      <w:proofErr w:type="spellStart"/>
      <w:r>
        <w:rPr>
          <w:rFonts w:eastAsia="Calibri"/>
          <w:lang w:val="en-US" w:eastAsia="en-US"/>
        </w:rPr>
        <w:t>Phys</w:t>
      </w:r>
      <w:proofErr w:type="spellEnd"/>
      <w:r>
        <w:rPr>
          <w:rFonts w:eastAsia="Calibri"/>
          <w:lang w:val="en-US" w:eastAsia="en-US"/>
        </w:rPr>
        <w:t xml:space="preserve"> Med </w:t>
      </w:r>
      <w:proofErr w:type="spellStart"/>
      <w:r>
        <w:rPr>
          <w:rFonts w:eastAsia="Calibri"/>
          <w:lang w:val="en-US" w:eastAsia="en-US"/>
        </w:rPr>
        <w:t>Rehabil</w:t>
      </w:r>
      <w:proofErr w:type="spellEnd"/>
      <w:r>
        <w:rPr>
          <w:rFonts w:eastAsia="Calibri"/>
          <w:lang w:val="en-US" w:eastAsia="en-US"/>
        </w:rPr>
        <w:t>, 88(12):S50-6.</w:t>
      </w:r>
    </w:p>
    <w:p w:rsidR="001250D4" w:rsidRDefault="001250D4" w:rsidP="007351EA">
      <w:pPr>
        <w:pStyle w:val="PargrafodaLista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84"/>
        <w:rPr>
          <w:lang w:val="en-US"/>
        </w:rPr>
      </w:pPr>
    </w:p>
    <w:p w:rsidR="001250D4" w:rsidRDefault="001250D4" w:rsidP="007351EA">
      <w:pPr>
        <w:pStyle w:val="PargrafodaLista"/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67" w:hanging="284"/>
        <w:jc w:val="both"/>
        <w:rPr>
          <w:szCs w:val="22"/>
          <w:lang w:val="en-US"/>
        </w:rPr>
      </w:pPr>
      <w:r>
        <w:rPr>
          <w:lang w:val="en-US"/>
        </w:rPr>
        <w:t xml:space="preserve">Farrell, R. T., </w:t>
      </w:r>
      <w:proofErr w:type="spellStart"/>
      <w:r>
        <w:rPr>
          <w:lang w:val="en-US"/>
        </w:rPr>
        <w:t>Gamelli</w:t>
      </w:r>
      <w:proofErr w:type="spellEnd"/>
      <w:r>
        <w:rPr>
          <w:lang w:val="en-US"/>
        </w:rPr>
        <w:t xml:space="preserve">, R. L., </w:t>
      </w:r>
      <w:proofErr w:type="spellStart"/>
      <w:r>
        <w:rPr>
          <w:lang w:val="en-US"/>
        </w:rPr>
        <w:t>Aleem</w:t>
      </w:r>
      <w:proofErr w:type="spellEnd"/>
      <w:r>
        <w:rPr>
          <w:lang w:val="en-US"/>
        </w:rPr>
        <w:t xml:space="preserve">, R. F., </w:t>
      </w:r>
      <w:proofErr w:type="spellStart"/>
      <w:r>
        <w:rPr>
          <w:lang w:val="en-US"/>
        </w:rPr>
        <w:t>Sinacore</w:t>
      </w:r>
      <w:proofErr w:type="spellEnd"/>
      <w:r>
        <w:rPr>
          <w:lang w:val="en-US"/>
        </w:rPr>
        <w:t>, J. M. (2008). The rela</w:t>
      </w:r>
      <w:r>
        <w:rPr>
          <w:lang w:val="en-US"/>
        </w:rPr>
        <w:softHyphen/>
        <w:t>tionship of body mass index and functional outcomes in pa</w:t>
      </w:r>
      <w:r>
        <w:rPr>
          <w:lang w:val="en-US"/>
        </w:rPr>
        <w:softHyphen/>
        <w:t xml:space="preserve">tients with acute burns. J </w:t>
      </w:r>
      <w:proofErr w:type="spellStart"/>
      <w:r>
        <w:rPr>
          <w:lang w:val="en-US"/>
        </w:rPr>
        <w:t>BurnCare</w:t>
      </w:r>
      <w:proofErr w:type="spellEnd"/>
      <w:r>
        <w:rPr>
          <w:lang w:val="en-US"/>
        </w:rPr>
        <w:t xml:space="preserve"> Res, 29:102–8.</w:t>
      </w:r>
    </w:p>
    <w:p w:rsidR="001250D4" w:rsidRDefault="001250D4" w:rsidP="007351E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67" w:hanging="284"/>
        <w:jc w:val="both"/>
        <w:rPr>
          <w:szCs w:val="22"/>
          <w:lang w:val="en-US"/>
        </w:rPr>
      </w:pPr>
    </w:p>
    <w:p w:rsidR="001250D4" w:rsidRDefault="001250D4" w:rsidP="007351EA">
      <w:pPr>
        <w:pStyle w:val="PargrafodaLista"/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67" w:hanging="284"/>
        <w:jc w:val="both"/>
      </w:pPr>
      <w:proofErr w:type="spellStart"/>
      <w:r>
        <w:rPr>
          <w:rFonts w:eastAsia="Calibri"/>
          <w:iCs/>
          <w:lang w:eastAsia="en-US"/>
        </w:rPr>
        <w:t>Gawryszewski</w:t>
      </w:r>
      <w:proofErr w:type="spellEnd"/>
      <w:r>
        <w:rPr>
          <w:rFonts w:eastAsia="Calibri"/>
          <w:iCs/>
          <w:lang w:eastAsia="en-US"/>
        </w:rPr>
        <w:t xml:space="preserve">, V. P., </w:t>
      </w:r>
      <w:r>
        <w:t>Bernal, R. T. I</w:t>
      </w:r>
      <w:proofErr w:type="gramStart"/>
      <w:r>
        <w:t>.,</w:t>
      </w:r>
      <w:proofErr w:type="gramEnd"/>
      <w:r>
        <w:t xml:space="preserve"> Silva, N. N., Morais Neto, O. L., Silva, M. M. A., Mascarenhas, M. D. M.</w:t>
      </w:r>
      <w:proofErr w:type="gramStart"/>
      <w:r>
        <w:t>, ...</w:t>
      </w:r>
      <w:proofErr w:type="gramEnd"/>
      <w:r>
        <w:t xml:space="preserve"> Malta, D. C. (2012).</w:t>
      </w:r>
      <w:r>
        <w:rPr>
          <w:rFonts w:eastAsia="Calibri"/>
          <w:iCs/>
          <w:lang w:eastAsia="en-US"/>
        </w:rPr>
        <w:t xml:space="preserve"> </w:t>
      </w:r>
      <w:r>
        <w:rPr>
          <w:shd w:val="clear" w:color="auto" w:fill="FFFFFF"/>
        </w:rPr>
        <w:t>A</w:t>
      </w:r>
      <w:r>
        <w:rPr>
          <w:rFonts w:eastAsia="Calibri"/>
          <w:lang w:eastAsia="en-US"/>
        </w:rPr>
        <w:t xml:space="preserve">tendimentos decorrentes de queimaduras em serviços públicos de emergência no Brasil, 2009. Cad. Saúde Pública, </w:t>
      </w:r>
      <w:proofErr w:type="gramStart"/>
      <w:r>
        <w:rPr>
          <w:rFonts w:eastAsia="Calibri"/>
          <w:lang w:eastAsia="en-US"/>
        </w:rPr>
        <w:t>28(4):</w:t>
      </w:r>
      <w:proofErr w:type="gramEnd"/>
      <w:r>
        <w:rPr>
          <w:rFonts w:eastAsia="Calibri"/>
          <w:lang w:eastAsia="en-US"/>
        </w:rPr>
        <w:t>629-40.</w:t>
      </w:r>
    </w:p>
    <w:p w:rsidR="001250D4" w:rsidRDefault="001250D4" w:rsidP="007351EA">
      <w:pPr>
        <w:pStyle w:val="PargrafodaLista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84"/>
        <w:rPr>
          <w:szCs w:val="22"/>
        </w:rPr>
      </w:pPr>
    </w:p>
    <w:p w:rsidR="001250D4" w:rsidRDefault="001250D4" w:rsidP="007351EA">
      <w:pPr>
        <w:pStyle w:val="PargrafodaLista"/>
        <w:numPr>
          <w:ilvl w:val="0"/>
          <w:numId w:val="2"/>
        </w:numPr>
        <w:tabs>
          <w:tab w:val="left" w:pos="284"/>
          <w:tab w:val="left" w:pos="709"/>
        </w:tabs>
        <w:autoSpaceDE w:val="0"/>
        <w:autoSpaceDN w:val="0"/>
        <w:adjustRightInd w:val="0"/>
        <w:ind w:left="567" w:hanging="284"/>
        <w:contextualSpacing/>
        <w:jc w:val="both"/>
        <w:rPr>
          <w:szCs w:val="22"/>
          <w:lang w:val="en-US"/>
        </w:rPr>
      </w:pPr>
      <w:proofErr w:type="spellStart"/>
      <w:r>
        <w:rPr>
          <w:szCs w:val="22"/>
          <w:lang w:val="en-US"/>
        </w:rPr>
        <w:t>Grisbook</w:t>
      </w:r>
      <w:proofErr w:type="spellEnd"/>
      <w:r>
        <w:rPr>
          <w:szCs w:val="22"/>
          <w:lang w:val="en-US"/>
        </w:rPr>
        <w:t xml:space="preserve">, T. L., </w:t>
      </w:r>
      <w:proofErr w:type="spellStart"/>
      <w:r>
        <w:rPr>
          <w:szCs w:val="22"/>
          <w:lang w:val="en-US"/>
        </w:rPr>
        <w:t>Wallman</w:t>
      </w:r>
      <w:proofErr w:type="spellEnd"/>
      <w:r>
        <w:rPr>
          <w:szCs w:val="22"/>
          <w:lang w:val="en-US"/>
        </w:rPr>
        <w:t>, K. E., Elliott, C. M., Wood, F. M., Edgar, D. W., &amp; Reid, S. L. (2012). The effect of exercise training on pulmonary function and aerobic capacity in adults with burns. Burns, 38:607-13.</w:t>
      </w:r>
    </w:p>
    <w:p w:rsidR="001250D4" w:rsidRDefault="001250D4" w:rsidP="007351EA">
      <w:pPr>
        <w:pStyle w:val="PargrafodaLista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84"/>
        <w:rPr>
          <w:rFonts w:eastAsia="Calibri"/>
          <w:lang w:val="en-US" w:eastAsia="en-US"/>
        </w:rPr>
      </w:pPr>
    </w:p>
    <w:p w:rsidR="001250D4" w:rsidRDefault="001250D4" w:rsidP="007351EA">
      <w:pPr>
        <w:pStyle w:val="PargrafodaLista"/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67" w:hanging="284"/>
        <w:jc w:val="both"/>
        <w:rPr>
          <w:rFonts w:eastAsia="Calibri"/>
          <w:bCs/>
          <w:lang w:val="en-US" w:eastAsia="en-US"/>
        </w:rPr>
      </w:pPr>
      <w:r>
        <w:rPr>
          <w:rFonts w:eastAsia="Calibri"/>
          <w:lang w:val="en-US" w:eastAsia="en-US"/>
        </w:rPr>
        <w:t xml:space="preserve">Hart, D. W., Wolf, S. E., </w:t>
      </w:r>
      <w:proofErr w:type="spellStart"/>
      <w:r>
        <w:rPr>
          <w:rFonts w:eastAsia="Calibri"/>
          <w:lang w:val="en-US" w:eastAsia="en-US"/>
        </w:rPr>
        <w:t>Mlcak</w:t>
      </w:r>
      <w:proofErr w:type="spellEnd"/>
      <w:r>
        <w:rPr>
          <w:rFonts w:eastAsia="Calibri"/>
          <w:lang w:val="en-US" w:eastAsia="en-US"/>
        </w:rPr>
        <w:t xml:space="preserve">, R., </w:t>
      </w:r>
      <w:proofErr w:type="spellStart"/>
      <w:r>
        <w:rPr>
          <w:rFonts w:eastAsia="Calibri"/>
          <w:lang w:val="en-US" w:eastAsia="en-US"/>
        </w:rPr>
        <w:t>Ramzy</w:t>
      </w:r>
      <w:proofErr w:type="spellEnd"/>
      <w:r>
        <w:rPr>
          <w:rFonts w:eastAsia="Calibri"/>
          <w:lang w:val="en-US" w:eastAsia="en-US"/>
        </w:rPr>
        <w:t xml:space="preserve">, P. I., </w:t>
      </w:r>
      <w:proofErr w:type="spellStart"/>
      <w:r>
        <w:rPr>
          <w:rFonts w:eastAsia="Calibri"/>
          <w:lang w:val="en-US" w:eastAsia="en-US"/>
        </w:rPr>
        <w:t>Obeng</w:t>
      </w:r>
      <w:proofErr w:type="spellEnd"/>
      <w:r>
        <w:rPr>
          <w:rFonts w:eastAsia="Calibri"/>
          <w:lang w:val="en-US" w:eastAsia="en-US"/>
        </w:rPr>
        <w:t>, M. K., Herndon, D. N. (2000). Persistence of muscle catabolism after severe burn. Surgery 2000; 128:312–9.</w:t>
      </w:r>
    </w:p>
    <w:p w:rsidR="001250D4" w:rsidRDefault="001250D4" w:rsidP="007351EA">
      <w:pPr>
        <w:pStyle w:val="PargrafodaLista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84"/>
        <w:rPr>
          <w:rFonts w:eastAsia="Calibri"/>
          <w:bCs/>
          <w:lang w:val="en-US" w:eastAsia="en-US"/>
        </w:rPr>
      </w:pPr>
    </w:p>
    <w:p w:rsidR="001250D4" w:rsidRDefault="001250D4" w:rsidP="007351EA">
      <w:pPr>
        <w:pStyle w:val="Pargrafo"/>
        <w:numPr>
          <w:ilvl w:val="0"/>
          <w:numId w:val="2"/>
        </w:numPr>
        <w:tabs>
          <w:tab w:val="left" w:pos="709"/>
        </w:tabs>
        <w:snapToGrid w:val="0"/>
        <w:spacing w:line="240" w:lineRule="auto"/>
        <w:ind w:left="567" w:hanging="284"/>
        <w:rPr>
          <w:lang w:val="en-US"/>
        </w:rPr>
      </w:pPr>
      <w:r>
        <w:rPr>
          <w:rFonts w:ascii="Times New Roman" w:hAnsi="Times New Roman"/>
          <w:szCs w:val="24"/>
          <w:shd w:val="clear" w:color="auto" w:fill="F6F7F8"/>
          <w:lang w:val="en-US"/>
        </w:rPr>
        <w:t>Holland, A. E., Spruit, M. A., Troosters, T., Puhan, M. A., Pepin, V., Saey, D., ... Sally, J. (2014). An Official European Respiratory Society / American Thoracic Society Technical Standard: Field Walking Tests in Chronic Respiratory Disease. European Respiratory Journal, 44(6):1428-46.</w:t>
      </w:r>
    </w:p>
    <w:p w:rsidR="001250D4" w:rsidRDefault="001250D4" w:rsidP="007351EA">
      <w:pPr>
        <w:pStyle w:val="PargrafodaLista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</w:pPr>
    </w:p>
    <w:p w:rsidR="001250D4" w:rsidRPr="001250D4" w:rsidRDefault="001250D4" w:rsidP="007351EA">
      <w:pPr>
        <w:pStyle w:val="PargrafodaLista"/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67" w:hanging="284"/>
        <w:jc w:val="both"/>
        <w:rPr>
          <w:u w:val="single"/>
        </w:rPr>
      </w:pPr>
      <w:r>
        <w:lastRenderedPageBreak/>
        <w:t xml:space="preserve">Hospital Israelita Albert Einstein.  (2010). Gerenciamento da dor na SBIBHHAE. [Acesso em 16 de setembro 2014] Disponível em: </w:t>
      </w:r>
    </w:p>
    <w:p w:rsidR="001250D4" w:rsidRPr="001250D4" w:rsidRDefault="001250D4" w:rsidP="007351EA">
      <w:pPr>
        <w:pStyle w:val="PargrafodaLista"/>
        <w:tabs>
          <w:tab w:val="left" w:pos="709"/>
        </w:tabs>
        <w:rPr>
          <w:lang w:val="en-US"/>
        </w:rPr>
      </w:pPr>
    </w:p>
    <w:p w:rsidR="001250D4" w:rsidRDefault="00FE165F" w:rsidP="001250D4">
      <w:pPr>
        <w:pStyle w:val="PargrafodaLista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67"/>
        <w:jc w:val="both"/>
        <w:rPr>
          <w:lang w:val="en-US"/>
        </w:rPr>
      </w:pPr>
      <w:hyperlink r:id="rId7" w:history="1">
        <w:r w:rsidR="001250D4" w:rsidRPr="003C22A4">
          <w:rPr>
            <w:rStyle w:val="Hyperlink"/>
            <w:lang w:val="en-US"/>
          </w:rPr>
          <w:t>http://medsvl.einstein.br/diretrizes/tratamento_dor/Gerenciamento%20da%20dor%20na%20SBIBHAE.pdf</w:t>
        </w:r>
      </w:hyperlink>
    </w:p>
    <w:p w:rsidR="001250D4" w:rsidRDefault="001250D4" w:rsidP="001250D4">
      <w:pPr>
        <w:pStyle w:val="PargrafodaLista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67"/>
        <w:jc w:val="both"/>
        <w:rPr>
          <w:lang w:val="en-US"/>
        </w:rPr>
      </w:pPr>
    </w:p>
    <w:p w:rsidR="001250D4" w:rsidRDefault="001250D4" w:rsidP="001250D4">
      <w:pPr>
        <w:pStyle w:val="PargrafodaLista"/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67" w:hanging="284"/>
        <w:jc w:val="both"/>
      </w:pPr>
      <w:r>
        <w:rPr>
          <w:lang w:val="en-US"/>
        </w:rPr>
        <w:t xml:space="preserve">Jarrett, M., </w:t>
      </w:r>
      <w:r>
        <w:rPr>
          <w:rFonts w:eastAsia="Calibri"/>
          <w:bCs/>
          <w:lang w:val="en-US" w:eastAsia="en-US"/>
        </w:rPr>
        <w:t>McMahon, M., &amp; Stiller, K. (2008). Physical outcomes of patients with burn injuries - a 12 month follow-up. J Burn Care Res, 29:975–84.</w:t>
      </w:r>
    </w:p>
    <w:p w:rsidR="001250D4" w:rsidRDefault="001250D4" w:rsidP="001250D4">
      <w:pPr>
        <w:pStyle w:val="Pargrafo"/>
        <w:tabs>
          <w:tab w:val="left" w:pos="284"/>
          <w:tab w:val="left" w:pos="709"/>
          <w:tab w:val="left" w:leader="dot" w:pos="8789"/>
        </w:tabs>
        <w:ind w:left="567" w:hanging="284"/>
        <w:rPr>
          <w:rFonts w:ascii="Times New Roman" w:hAnsi="Times New Roman"/>
          <w:szCs w:val="24"/>
          <w:lang w:val="en-US"/>
        </w:rPr>
      </w:pPr>
    </w:p>
    <w:p w:rsidR="001250D4" w:rsidRDefault="001250D4" w:rsidP="001250D4">
      <w:pPr>
        <w:pStyle w:val="Pargrafo"/>
        <w:numPr>
          <w:ilvl w:val="0"/>
          <w:numId w:val="2"/>
        </w:numPr>
        <w:tabs>
          <w:tab w:val="clear" w:pos="1701"/>
          <w:tab w:val="left" w:pos="284"/>
          <w:tab w:val="left" w:pos="709"/>
          <w:tab w:val="left" w:leader="dot" w:pos="8789"/>
        </w:tabs>
        <w:snapToGrid w:val="0"/>
        <w:spacing w:line="240" w:lineRule="auto"/>
        <w:ind w:left="567" w:hanging="284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 xml:space="preserve">Jeschke, M. G., Chinkes, D. L., Finnerty, C. C., Kulp, G., Suman. O. E., </w:t>
      </w:r>
      <w:bookmarkStart w:id="0" w:name="_GoBack"/>
      <w:bookmarkEnd w:id="0"/>
      <w:r>
        <w:rPr>
          <w:rFonts w:ascii="Times New Roman" w:hAnsi="Times New Roman"/>
          <w:szCs w:val="24"/>
          <w:lang w:val="en-US"/>
        </w:rPr>
        <w:t>Norbury, W. B.,… Herndon, D. N.</w:t>
      </w:r>
      <w:r>
        <w:rPr>
          <w:rFonts w:ascii="Times New Roman" w:hAnsi="Times New Roman"/>
          <w:szCs w:val="24"/>
          <w:shd w:val="clear" w:color="auto" w:fill="FFFFFF"/>
          <w:lang w:val="en-US"/>
        </w:rPr>
        <w:t xml:space="preserve"> (2008)</w:t>
      </w:r>
      <w:r>
        <w:rPr>
          <w:rFonts w:ascii="Times New Roman" w:hAnsi="Times New Roman"/>
          <w:szCs w:val="24"/>
          <w:lang w:val="en-US"/>
        </w:rPr>
        <w:t>. Pathophysiologic response to severe burn injury. Ann Surg, 248:387-401.</w:t>
      </w:r>
    </w:p>
    <w:p w:rsidR="001250D4" w:rsidRDefault="001250D4" w:rsidP="001250D4">
      <w:pPr>
        <w:pStyle w:val="Pargrafoda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84"/>
        <w:rPr>
          <w:lang w:val="en-US"/>
        </w:rPr>
      </w:pPr>
    </w:p>
    <w:p w:rsidR="001250D4" w:rsidRDefault="001250D4" w:rsidP="001250D4">
      <w:pPr>
        <w:pStyle w:val="Pargrafo"/>
        <w:numPr>
          <w:ilvl w:val="0"/>
          <w:numId w:val="2"/>
        </w:numPr>
        <w:tabs>
          <w:tab w:val="clear" w:pos="1701"/>
          <w:tab w:val="left" w:pos="284"/>
          <w:tab w:val="left" w:pos="709"/>
          <w:tab w:val="left" w:leader="dot" w:pos="8789"/>
        </w:tabs>
        <w:autoSpaceDE w:val="0"/>
        <w:autoSpaceDN w:val="0"/>
        <w:adjustRightInd w:val="0"/>
        <w:snapToGrid w:val="0"/>
        <w:spacing w:line="240" w:lineRule="auto"/>
        <w:ind w:left="567" w:hanging="284"/>
        <w:rPr>
          <w:lang w:val="en-US"/>
        </w:rPr>
      </w:pPr>
      <w:r>
        <w:rPr>
          <w:rFonts w:ascii="Times New Roman" w:hAnsi="Times New Roman"/>
          <w:szCs w:val="24"/>
          <w:lang w:val="en-US"/>
        </w:rPr>
        <w:t xml:space="preserve">Johnson, C. (1994). Pathologic manifestations of burn injury. In: Richard, R. L.,  &amp; Stanley, M. J.  (Ed.). Burn care and rehabilitation: principles and practice. (p.29-48). Philadelphia. </w:t>
      </w:r>
    </w:p>
    <w:p w:rsidR="001250D4" w:rsidRDefault="001250D4" w:rsidP="001250D4">
      <w:pPr>
        <w:pStyle w:val="Pargrafoda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84"/>
        <w:rPr>
          <w:lang w:val="en-US"/>
        </w:rPr>
      </w:pPr>
    </w:p>
    <w:p w:rsidR="001250D4" w:rsidRDefault="001250D4" w:rsidP="00B15FE6">
      <w:pPr>
        <w:pStyle w:val="PargrafodaLista"/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67" w:hanging="284"/>
        <w:jc w:val="both"/>
        <w:rPr>
          <w:szCs w:val="20"/>
          <w:lang w:val="en-US"/>
        </w:rPr>
      </w:pPr>
      <w:r>
        <w:rPr>
          <w:lang w:val="en-US"/>
        </w:rPr>
        <w:t xml:space="preserve">Mackey, S. P., </w:t>
      </w:r>
      <w:proofErr w:type="spellStart"/>
      <w:r>
        <w:rPr>
          <w:lang w:val="en-US"/>
        </w:rPr>
        <w:t>Diba</w:t>
      </w:r>
      <w:proofErr w:type="spellEnd"/>
      <w:r>
        <w:rPr>
          <w:lang w:val="en-US"/>
        </w:rPr>
        <w:t xml:space="preserve">, R., </w:t>
      </w:r>
      <w:proofErr w:type="spellStart"/>
      <w:r>
        <w:rPr>
          <w:lang w:val="en-US"/>
        </w:rPr>
        <w:t>McKeown</w:t>
      </w:r>
      <w:proofErr w:type="spellEnd"/>
      <w:r>
        <w:rPr>
          <w:lang w:val="en-US"/>
        </w:rPr>
        <w:t xml:space="preserve">, D., Wallace, C., Booth, S., Gilbert, P. M., &amp; </w:t>
      </w:r>
      <w:proofErr w:type="spellStart"/>
      <w:r>
        <w:rPr>
          <w:lang w:val="en-US"/>
        </w:rPr>
        <w:t>Dheansa</w:t>
      </w:r>
      <w:proofErr w:type="spellEnd"/>
      <w:r>
        <w:rPr>
          <w:lang w:val="en-US"/>
        </w:rPr>
        <w:t>, B. S. (2009). Return to work after burns: a qualitative research study. Burns, 35:338–42.</w:t>
      </w:r>
    </w:p>
    <w:p w:rsidR="001250D4" w:rsidRDefault="001250D4" w:rsidP="00125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67" w:hanging="284"/>
        <w:jc w:val="both"/>
        <w:rPr>
          <w:szCs w:val="20"/>
          <w:lang w:val="en-US"/>
        </w:rPr>
      </w:pPr>
    </w:p>
    <w:p w:rsidR="001250D4" w:rsidRDefault="001250D4" w:rsidP="00B15FE6">
      <w:pPr>
        <w:pStyle w:val="PargrafodaLista"/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/>
        <w:ind w:left="567" w:hanging="284"/>
        <w:contextualSpacing/>
        <w:jc w:val="both"/>
        <w:rPr>
          <w:lang w:val="en-US"/>
        </w:rPr>
      </w:pPr>
      <w:proofErr w:type="spellStart"/>
      <w:r>
        <w:rPr>
          <w:lang w:val="en-US"/>
        </w:rPr>
        <w:t>Oqunbieje</w:t>
      </w:r>
      <w:proofErr w:type="spellEnd"/>
      <w:r>
        <w:rPr>
          <w:lang w:val="en-US"/>
        </w:rPr>
        <w:t xml:space="preserve">, J. O., Porter, C., Herndon, D. N., Chao, T., </w:t>
      </w:r>
      <w:proofErr w:type="spellStart"/>
      <w:r>
        <w:rPr>
          <w:lang w:val="en-US"/>
        </w:rPr>
        <w:t>Abdelrahman</w:t>
      </w:r>
      <w:proofErr w:type="spellEnd"/>
      <w:r>
        <w:rPr>
          <w:lang w:val="en-US"/>
        </w:rPr>
        <w:t>, D. R</w:t>
      </w:r>
      <w:proofErr w:type="gramStart"/>
      <w:r>
        <w:rPr>
          <w:lang w:val="en-US"/>
        </w:rPr>
        <w:t>., …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Sidossis</w:t>
      </w:r>
      <w:proofErr w:type="spellEnd"/>
      <w:r>
        <w:rPr>
          <w:lang w:val="en-US"/>
        </w:rPr>
        <w:t xml:space="preserve"> L. S. (2016). </w:t>
      </w:r>
      <w:proofErr w:type="spellStart"/>
      <w:r>
        <w:rPr>
          <w:lang w:val="en-US"/>
        </w:rPr>
        <w:t>Hypermetabolism</w:t>
      </w:r>
      <w:proofErr w:type="spellEnd"/>
      <w:r>
        <w:rPr>
          <w:lang w:val="en-US"/>
        </w:rPr>
        <w:t xml:space="preserve"> and </w:t>
      </w:r>
      <w:proofErr w:type="spellStart"/>
      <w:r>
        <w:rPr>
          <w:lang w:val="en-US"/>
        </w:rPr>
        <w:t>hypercatabolism</w:t>
      </w:r>
      <w:proofErr w:type="spellEnd"/>
      <w:r>
        <w:rPr>
          <w:lang w:val="en-US"/>
        </w:rPr>
        <w:t xml:space="preserve"> of skeletal muscle accompany </w:t>
      </w:r>
      <w:proofErr w:type="spellStart"/>
      <w:r>
        <w:rPr>
          <w:lang w:val="en-US"/>
        </w:rPr>
        <w:t>mithocondrial</w:t>
      </w:r>
      <w:proofErr w:type="spellEnd"/>
      <w:r>
        <w:rPr>
          <w:lang w:val="en-US"/>
        </w:rPr>
        <w:t xml:space="preserve"> stress following severe burn trauma. </w:t>
      </w:r>
      <w:proofErr w:type="gramStart"/>
      <w:r>
        <w:rPr>
          <w:lang w:val="en-US"/>
        </w:rPr>
        <w:t>Am</w:t>
      </w:r>
      <w:proofErr w:type="gramEnd"/>
      <w:r>
        <w:rPr>
          <w:lang w:val="en-US"/>
        </w:rPr>
        <w:t xml:space="preserve"> J </w:t>
      </w:r>
      <w:proofErr w:type="spellStart"/>
      <w:r>
        <w:rPr>
          <w:lang w:val="en-US"/>
        </w:rPr>
        <w:t>Physiol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Endocrinol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Metab</w:t>
      </w:r>
      <w:proofErr w:type="spellEnd"/>
      <w:r>
        <w:rPr>
          <w:lang w:val="en-US"/>
        </w:rPr>
        <w:t>, 311(2):436-48.</w:t>
      </w:r>
    </w:p>
    <w:p w:rsidR="001250D4" w:rsidRDefault="001250D4" w:rsidP="001250D4">
      <w:pPr>
        <w:pStyle w:val="Pargrafoda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67" w:hanging="284"/>
        <w:jc w:val="both"/>
        <w:rPr>
          <w:lang w:val="en-US"/>
        </w:rPr>
      </w:pPr>
    </w:p>
    <w:p w:rsidR="001250D4" w:rsidRDefault="001250D4" w:rsidP="00B15FE6">
      <w:pPr>
        <w:pStyle w:val="PargrafodaLista"/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67" w:hanging="284"/>
        <w:jc w:val="both"/>
      </w:pPr>
      <w:r>
        <w:rPr>
          <w:rFonts w:eastAsia="Calibri"/>
          <w:bCs/>
          <w:lang w:val="en-US" w:eastAsia="en-US"/>
        </w:rPr>
        <w:t xml:space="preserve">Papp, A., </w:t>
      </w:r>
      <w:proofErr w:type="spellStart"/>
      <w:r>
        <w:rPr>
          <w:rFonts w:eastAsia="Calibri"/>
          <w:bCs/>
          <w:lang w:val="en-US" w:eastAsia="en-US"/>
        </w:rPr>
        <w:t>Haythornthwaite</w:t>
      </w:r>
      <w:proofErr w:type="spellEnd"/>
      <w:r>
        <w:rPr>
          <w:rFonts w:eastAsia="Calibri"/>
          <w:bCs/>
          <w:lang w:val="en-US" w:eastAsia="en-US"/>
        </w:rPr>
        <w:t xml:space="preserve">, J. (2014). Ethnicity and Etiology in Burn Trauma. </w:t>
      </w:r>
      <w:r>
        <w:rPr>
          <w:rFonts w:eastAsia="Calibri"/>
          <w:bCs/>
          <w:lang w:eastAsia="en-US"/>
        </w:rPr>
        <w:t xml:space="preserve">J </w:t>
      </w:r>
      <w:proofErr w:type="spellStart"/>
      <w:r>
        <w:rPr>
          <w:rFonts w:eastAsia="Calibri"/>
          <w:bCs/>
          <w:lang w:eastAsia="en-US"/>
        </w:rPr>
        <w:t>Burn</w:t>
      </w:r>
      <w:proofErr w:type="spellEnd"/>
      <w:r>
        <w:rPr>
          <w:rFonts w:eastAsia="Calibri"/>
          <w:bCs/>
          <w:lang w:eastAsia="en-US"/>
        </w:rPr>
        <w:t xml:space="preserve"> </w:t>
      </w:r>
      <w:proofErr w:type="spellStart"/>
      <w:r>
        <w:rPr>
          <w:rFonts w:eastAsia="Calibri"/>
          <w:bCs/>
          <w:lang w:eastAsia="en-US"/>
        </w:rPr>
        <w:t>Care</w:t>
      </w:r>
      <w:proofErr w:type="spellEnd"/>
      <w:r>
        <w:rPr>
          <w:rFonts w:eastAsia="Calibri"/>
          <w:bCs/>
          <w:lang w:eastAsia="en-US"/>
        </w:rPr>
        <w:t xml:space="preserve"> Res, 35: 99–105.</w:t>
      </w:r>
    </w:p>
    <w:p w:rsidR="001250D4" w:rsidRDefault="001250D4" w:rsidP="001250D4">
      <w:pPr>
        <w:pStyle w:val="Pargrafoda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84"/>
        <w:rPr>
          <w:rStyle w:val="a"/>
          <w:bdr w:val="none" w:sz="0" w:space="0" w:color="auto" w:frame="1"/>
          <w:shd w:val="clear" w:color="auto" w:fill="FFFFFF"/>
        </w:rPr>
      </w:pPr>
    </w:p>
    <w:p w:rsidR="001250D4" w:rsidRDefault="001250D4" w:rsidP="001250D4">
      <w:pPr>
        <w:pStyle w:val="Default"/>
        <w:numPr>
          <w:ilvl w:val="0"/>
          <w:numId w:val="2"/>
        </w:numPr>
        <w:tabs>
          <w:tab w:val="left" w:pos="284"/>
        </w:tabs>
        <w:ind w:left="567" w:hanging="284"/>
        <w:jc w:val="both"/>
        <w:rPr>
          <w:rStyle w:val="a"/>
          <w:rFonts w:ascii="Times New Roman" w:hAnsi="Times New Roman"/>
          <w:color w:val="auto"/>
          <w:bdr w:val="none" w:sz="0" w:space="0" w:color="auto" w:frame="1"/>
          <w:shd w:val="clear" w:color="auto" w:fill="FFFFFF"/>
        </w:rPr>
      </w:pPr>
      <w:proofErr w:type="spellStart"/>
      <w:r>
        <w:rPr>
          <w:rStyle w:val="a"/>
          <w:rFonts w:ascii="Times New Roman" w:hAnsi="Times New Roman"/>
          <w:color w:val="auto"/>
          <w:bdr w:val="none" w:sz="0" w:space="0" w:color="auto" w:frame="1"/>
          <w:shd w:val="clear" w:color="auto" w:fill="FFFFFF"/>
        </w:rPr>
        <w:t>Pardine</w:t>
      </w:r>
      <w:proofErr w:type="spellEnd"/>
      <w:r>
        <w:rPr>
          <w:rStyle w:val="a"/>
          <w:rFonts w:ascii="Times New Roman" w:hAnsi="Times New Roman"/>
          <w:color w:val="auto"/>
          <w:bdr w:val="none" w:sz="0" w:space="0" w:color="auto" w:frame="1"/>
          <w:shd w:val="clear" w:color="auto" w:fill="FFFFFF"/>
        </w:rPr>
        <w:t xml:space="preserve">, R., </w:t>
      </w:r>
      <w:proofErr w:type="spellStart"/>
      <w:r>
        <w:rPr>
          <w:rStyle w:val="nfase"/>
          <w:i w:val="0"/>
          <w:color w:val="auto"/>
          <w:shd w:val="clear" w:color="auto" w:fill="FFFFFF"/>
        </w:rPr>
        <w:t>Matsudo</w:t>
      </w:r>
      <w:proofErr w:type="spellEnd"/>
      <w:r>
        <w:rPr>
          <w:rStyle w:val="nfase"/>
          <w:i w:val="0"/>
          <w:color w:val="auto"/>
          <w:shd w:val="clear" w:color="auto" w:fill="FFFFFF"/>
        </w:rPr>
        <w:t xml:space="preserve">, S., Araújo, T., </w:t>
      </w:r>
      <w:proofErr w:type="spellStart"/>
      <w:r>
        <w:rPr>
          <w:rStyle w:val="nfase"/>
          <w:i w:val="0"/>
          <w:color w:val="auto"/>
          <w:shd w:val="clear" w:color="auto" w:fill="FFFFFF"/>
        </w:rPr>
        <w:t>Matsudo</w:t>
      </w:r>
      <w:proofErr w:type="spellEnd"/>
      <w:r>
        <w:rPr>
          <w:rStyle w:val="nfase"/>
          <w:i w:val="0"/>
          <w:color w:val="auto"/>
          <w:shd w:val="clear" w:color="auto" w:fill="FFFFFF"/>
        </w:rPr>
        <w:t>, V., Andrade, E</w:t>
      </w:r>
      <w:proofErr w:type="gramStart"/>
      <w:r>
        <w:rPr>
          <w:rStyle w:val="nfase"/>
          <w:i w:val="0"/>
          <w:color w:val="auto"/>
          <w:shd w:val="clear" w:color="auto" w:fill="FFFFFF"/>
        </w:rPr>
        <w:t>.,</w:t>
      </w:r>
      <w:proofErr w:type="gramEnd"/>
      <w:r>
        <w:rPr>
          <w:rStyle w:val="nfase"/>
          <w:i w:val="0"/>
          <w:color w:val="auto"/>
          <w:shd w:val="clear" w:color="auto" w:fill="FFFFFF"/>
        </w:rPr>
        <w:t xml:space="preserve">   </w:t>
      </w:r>
      <w:proofErr w:type="spellStart"/>
      <w:r>
        <w:rPr>
          <w:rStyle w:val="nfase"/>
          <w:i w:val="0"/>
          <w:color w:val="auto"/>
          <w:shd w:val="clear" w:color="auto" w:fill="FFFFFF"/>
        </w:rPr>
        <w:t>Braggion</w:t>
      </w:r>
      <w:proofErr w:type="spellEnd"/>
      <w:r>
        <w:rPr>
          <w:rStyle w:val="nfase"/>
          <w:i w:val="0"/>
          <w:color w:val="auto"/>
          <w:shd w:val="clear" w:color="auto" w:fill="FFFFFF"/>
        </w:rPr>
        <w:t>, G., ... Raso, V. (2001)</w:t>
      </w:r>
      <w:r>
        <w:rPr>
          <w:rStyle w:val="a"/>
          <w:rFonts w:ascii="Times New Roman" w:hAnsi="Times New Roman"/>
          <w:color w:val="auto"/>
          <w:bdr w:val="none" w:sz="0" w:space="0" w:color="auto" w:frame="1"/>
          <w:shd w:val="clear" w:color="auto" w:fill="FFFFFF"/>
        </w:rPr>
        <w:t xml:space="preserve">. </w:t>
      </w:r>
      <w:r>
        <w:t xml:space="preserve">Validação do questionário internacional de nível de atividade física </w:t>
      </w:r>
      <w:r>
        <w:rPr>
          <w:rStyle w:val="a"/>
          <w:rFonts w:ascii="Times New Roman" w:hAnsi="Times New Roman"/>
          <w:color w:val="auto"/>
          <w:bdr w:val="none" w:sz="0" w:space="0" w:color="auto" w:frame="1"/>
          <w:shd w:val="clear" w:color="auto" w:fill="FFFFFF"/>
        </w:rPr>
        <w:t xml:space="preserve">(IPAQ – versão </w:t>
      </w:r>
      <w:proofErr w:type="gramStart"/>
      <w:r>
        <w:rPr>
          <w:rStyle w:val="a"/>
          <w:rFonts w:ascii="Times New Roman" w:hAnsi="Times New Roman"/>
          <w:color w:val="auto"/>
          <w:bdr w:val="none" w:sz="0" w:space="0" w:color="auto" w:frame="1"/>
          <w:shd w:val="clear" w:color="auto" w:fill="FFFFFF"/>
        </w:rPr>
        <w:t>6</w:t>
      </w:r>
      <w:proofErr w:type="gramEnd"/>
      <w:r>
        <w:rPr>
          <w:rStyle w:val="a"/>
          <w:rFonts w:ascii="Times New Roman" w:hAnsi="Times New Roman"/>
          <w:color w:val="auto"/>
          <w:bdr w:val="none" w:sz="0" w:space="0" w:color="auto" w:frame="1"/>
          <w:shd w:val="clear" w:color="auto" w:fill="FFFFFF"/>
        </w:rPr>
        <w:t xml:space="preserve">): estudo piloto em adultos jovens brasileiros. </w:t>
      </w:r>
      <w:proofErr w:type="spellStart"/>
      <w:r>
        <w:rPr>
          <w:rStyle w:val="a"/>
          <w:rFonts w:ascii="Times New Roman" w:hAnsi="Times New Roman"/>
          <w:color w:val="auto"/>
          <w:bdr w:val="none" w:sz="0" w:space="0" w:color="auto" w:frame="1"/>
          <w:shd w:val="clear" w:color="auto" w:fill="FFFFFF"/>
        </w:rPr>
        <w:t>Rev</w:t>
      </w:r>
      <w:proofErr w:type="spellEnd"/>
      <w:r>
        <w:rPr>
          <w:rStyle w:val="a"/>
          <w:rFonts w:ascii="Times New Roman" w:hAnsi="Times New Roman"/>
          <w:color w:val="auto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a"/>
          <w:rFonts w:ascii="Times New Roman" w:hAnsi="Times New Roman"/>
          <w:color w:val="auto"/>
          <w:bdr w:val="none" w:sz="0" w:space="0" w:color="auto" w:frame="1"/>
          <w:shd w:val="clear" w:color="auto" w:fill="FFFFFF"/>
        </w:rPr>
        <w:t>Bras</w:t>
      </w:r>
      <w:proofErr w:type="spellEnd"/>
      <w:r>
        <w:rPr>
          <w:rStyle w:val="a"/>
          <w:rFonts w:ascii="Times New Roman" w:hAnsi="Times New Roman"/>
          <w:color w:val="auto"/>
          <w:bdr w:val="none" w:sz="0" w:space="0" w:color="auto" w:frame="1"/>
          <w:shd w:val="clear" w:color="auto" w:fill="FFFFFF"/>
        </w:rPr>
        <w:t xml:space="preserve"> Ciências </w:t>
      </w:r>
      <w:proofErr w:type="spellStart"/>
      <w:r>
        <w:rPr>
          <w:rStyle w:val="a"/>
          <w:rFonts w:ascii="Times New Roman" w:hAnsi="Times New Roman"/>
          <w:color w:val="auto"/>
          <w:bdr w:val="none" w:sz="0" w:space="0" w:color="auto" w:frame="1"/>
          <w:shd w:val="clear" w:color="auto" w:fill="FFFFFF"/>
        </w:rPr>
        <w:t>Mov</w:t>
      </w:r>
      <w:proofErr w:type="spellEnd"/>
      <w:r>
        <w:rPr>
          <w:rStyle w:val="a"/>
          <w:rFonts w:ascii="Times New Roman" w:hAnsi="Times New Roman"/>
          <w:color w:val="auto"/>
          <w:bdr w:val="none" w:sz="0" w:space="0" w:color="auto" w:frame="1"/>
          <w:shd w:val="clear" w:color="auto" w:fill="FFFFFF"/>
        </w:rPr>
        <w:t xml:space="preserve">, </w:t>
      </w:r>
      <w:proofErr w:type="gramStart"/>
      <w:r>
        <w:rPr>
          <w:rStyle w:val="a"/>
          <w:rFonts w:ascii="Times New Roman" w:hAnsi="Times New Roman"/>
          <w:color w:val="auto"/>
          <w:bdr w:val="none" w:sz="0" w:space="0" w:color="auto" w:frame="1"/>
          <w:shd w:val="clear" w:color="auto" w:fill="FFFFFF"/>
        </w:rPr>
        <w:t>9:45</w:t>
      </w:r>
      <w:proofErr w:type="gramEnd"/>
      <w:r>
        <w:rPr>
          <w:rStyle w:val="a"/>
          <w:rFonts w:ascii="Times New Roman" w:hAnsi="Times New Roman"/>
          <w:color w:val="auto"/>
          <w:bdr w:val="none" w:sz="0" w:space="0" w:color="auto" w:frame="1"/>
          <w:shd w:val="clear" w:color="auto" w:fill="FFFFFF"/>
        </w:rPr>
        <w:t>-51.</w:t>
      </w:r>
    </w:p>
    <w:p w:rsidR="001250D4" w:rsidRDefault="001250D4" w:rsidP="001250D4">
      <w:pPr>
        <w:pStyle w:val="Pargrafoda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84"/>
      </w:pPr>
    </w:p>
    <w:p w:rsidR="001250D4" w:rsidRDefault="001250D4" w:rsidP="00B15FE6">
      <w:pPr>
        <w:pStyle w:val="PargrafodaLista"/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67" w:hanging="284"/>
        <w:jc w:val="both"/>
        <w:rPr>
          <w:lang w:val="en-US"/>
        </w:rPr>
      </w:pPr>
      <w:r>
        <w:rPr>
          <w:rFonts w:eastAsia="Calibri"/>
          <w:lang w:val="en-US" w:eastAsia="en-US"/>
        </w:rPr>
        <w:t xml:space="preserve">Parry, I., Walker, K., </w:t>
      </w:r>
      <w:proofErr w:type="spellStart"/>
      <w:r>
        <w:rPr>
          <w:rFonts w:eastAsia="Calibri"/>
          <w:lang w:val="en-US" w:eastAsia="en-US"/>
        </w:rPr>
        <w:t>Niszczak</w:t>
      </w:r>
      <w:proofErr w:type="spellEnd"/>
      <w:r>
        <w:rPr>
          <w:rFonts w:eastAsia="Calibri"/>
          <w:lang w:val="en-US" w:eastAsia="en-US"/>
        </w:rPr>
        <w:t xml:space="preserve">, J., </w:t>
      </w:r>
      <w:proofErr w:type="spellStart"/>
      <w:r>
        <w:rPr>
          <w:rFonts w:eastAsia="Calibri"/>
          <w:lang w:val="en-US" w:eastAsia="en-US"/>
        </w:rPr>
        <w:t>Palmieri</w:t>
      </w:r>
      <w:proofErr w:type="spellEnd"/>
      <w:r>
        <w:rPr>
          <w:rFonts w:eastAsia="Calibri"/>
          <w:lang w:val="en-US" w:eastAsia="en-US"/>
        </w:rPr>
        <w:t xml:space="preserve">, T., &amp; </w:t>
      </w:r>
      <w:proofErr w:type="spellStart"/>
      <w:r>
        <w:rPr>
          <w:rFonts w:eastAsia="Calibri"/>
          <w:lang w:val="en-US" w:eastAsia="en-US"/>
        </w:rPr>
        <w:t>Greenhalgh</w:t>
      </w:r>
      <w:proofErr w:type="spellEnd"/>
      <w:r>
        <w:rPr>
          <w:rFonts w:eastAsia="Calibri"/>
          <w:lang w:val="en-US" w:eastAsia="en-US"/>
        </w:rPr>
        <w:t>, D. (2010). Methods and tools used for the measurement of burn scar contracture. J Burn Care Res, 31:888–903.</w:t>
      </w:r>
    </w:p>
    <w:p w:rsidR="001250D4" w:rsidRDefault="001250D4" w:rsidP="001250D4">
      <w:pPr>
        <w:pStyle w:val="Pargrafoda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84"/>
        <w:rPr>
          <w:lang w:val="en-US"/>
        </w:rPr>
      </w:pPr>
    </w:p>
    <w:p w:rsidR="001250D4" w:rsidRDefault="001250D4" w:rsidP="00B15FE6">
      <w:pPr>
        <w:pStyle w:val="PargrafodaLista"/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67" w:hanging="284"/>
        <w:jc w:val="both"/>
        <w:rPr>
          <w:lang w:val="en-US"/>
        </w:rPr>
      </w:pPr>
      <w:r>
        <w:rPr>
          <w:lang w:val="en-US"/>
        </w:rPr>
        <w:t>Peck, M. D. (2012). Epidemiology of burns throughout the World. Part II: Intentional burns in adults. Burns, 38:630-37.</w:t>
      </w:r>
    </w:p>
    <w:p w:rsidR="001250D4" w:rsidRDefault="001250D4" w:rsidP="001250D4">
      <w:pPr>
        <w:pStyle w:val="Pargrafoda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67" w:hanging="284"/>
        <w:jc w:val="both"/>
        <w:rPr>
          <w:rFonts w:eastAsia="Calibri"/>
          <w:bCs/>
          <w:lang w:val="en-US" w:eastAsia="en-US"/>
        </w:rPr>
      </w:pPr>
    </w:p>
    <w:p w:rsidR="001250D4" w:rsidRDefault="001250D4" w:rsidP="00B15FE6">
      <w:pPr>
        <w:pStyle w:val="PargrafodaLista"/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67" w:hanging="284"/>
        <w:jc w:val="both"/>
      </w:pPr>
      <w:r>
        <w:t xml:space="preserve">Piccolo, N. S., Correa, M. </w:t>
      </w:r>
      <w:proofErr w:type="gramStart"/>
      <w:r>
        <w:t>D.</w:t>
      </w:r>
      <w:proofErr w:type="gramEnd"/>
      <w:r>
        <w:t xml:space="preserve">, Amaral, C. R., </w:t>
      </w:r>
      <w:proofErr w:type="spellStart"/>
      <w:r>
        <w:t>Leonardi</w:t>
      </w:r>
      <w:proofErr w:type="spellEnd"/>
      <w:r>
        <w:t xml:space="preserve">, D. F., Novaes, F. N., Prestes, M. A.,... Piccolo, M. T. (2002). Queimaduras. São Paulo: </w:t>
      </w:r>
      <w:proofErr w:type="gramStart"/>
      <w:r>
        <w:t>Projeto Diretrizes</w:t>
      </w:r>
      <w:proofErr w:type="gramEnd"/>
      <w:r>
        <w:t>, Sociedade Brasileira de Cirurgia Plástica.</w:t>
      </w:r>
    </w:p>
    <w:p w:rsidR="001250D4" w:rsidRDefault="001250D4" w:rsidP="001250D4">
      <w:pPr>
        <w:pStyle w:val="Pargrafoda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67" w:hanging="284"/>
        <w:jc w:val="both"/>
        <w:rPr>
          <w:szCs w:val="22"/>
        </w:rPr>
      </w:pPr>
    </w:p>
    <w:p w:rsidR="001250D4" w:rsidRDefault="001250D4" w:rsidP="00B15FE6">
      <w:pPr>
        <w:pStyle w:val="PargrafodaLista"/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67" w:hanging="284"/>
        <w:jc w:val="both"/>
        <w:rPr>
          <w:lang w:val="en-US"/>
        </w:rPr>
      </w:pPr>
      <w:r>
        <w:t xml:space="preserve">Ricci, H., Gonçalves, N., </w:t>
      </w:r>
      <w:proofErr w:type="spellStart"/>
      <w:r>
        <w:t>Gallani</w:t>
      </w:r>
      <w:proofErr w:type="spellEnd"/>
      <w:r>
        <w:t xml:space="preserve">, M. C., </w:t>
      </w:r>
      <w:proofErr w:type="spellStart"/>
      <w:r>
        <w:t>Ciol</w:t>
      </w:r>
      <w:proofErr w:type="spellEnd"/>
      <w:r>
        <w:t xml:space="preserve">, M. A., Dantas, R. A. S., &amp; Rossi, L. A. (2014). </w:t>
      </w:r>
      <w:r>
        <w:rPr>
          <w:lang w:val="en-US"/>
        </w:rPr>
        <w:t>Assessment of the health status in Brazilian burn victims five to seven months after hospital discharge. Burns, 40:616-23.</w:t>
      </w:r>
    </w:p>
    <w:p w:rsidR="001250D4" w:rsidRDefault="001250D4" w:rsidP="00125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67" w:hanging="284"/>
        <w:jc w:val="both"/>
        <w:rPr>
          <w:lang w:val="en-US"/>
        </w:rPr>
      </w:pPr>
    </w:p>
    <w:p w:rsidR="001250D4" w:rsidRDefault="001250D4" w:rsidP="00B15FE6">
      <w:pPr>
        <w:pStyle w:val="PargrafodaLista"/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67" w:hanging="284"/>
        <w:jc w:val="both"/>
        <w:rPr>
          <w:szCs w:val="22"/>
          <w:lang w:val="en-US"/>
        </w:rPr>
      </w:pPr>
      <w:r>
        <w:rPr>
          <w:szCs w:val="22"/>
          <w:lang w:val="en-US"/>
        </w:rPr>
        <w:lastRenderedPageBreak/>
        <w:t xml:space="preserve">Richard, R., </w:t>
      </w:r>
      <w:proofErr w:type="spellStart"/>
      <w:r>
        <w:rPr>
          <w:szCs w:val="22"/>
          <w:lang w:val="en-US"/>
        </w:rPr>
        <w:t>Baryza</w:t>
      </w:r>
      <w:proofErr w:type="spellEnd"/>
      <w:r>
        <w:rPr>
          <w:szCs w:val="22"/>
          <w:lang w:val="en-US"/>
        </w:rPr>
        <w:t>, M. J., Carr, J. A., Dewey, W. S., Dougherty, M. E., Forbes-</w:t>
      </w:r>
      <w:proofErr w:type="spellStart"/>
      <w:r>
        <w:rPr>
          <w:szCs w:val="22"/>
          <w:lang w:val="en-US"/>
        </w:rPr>
        <w:t>Duchart</w:t>
      </w:r>
      <w:proofErr w:type="spellEnd"/>
      <w:r>
        <w:rPr>
          <w:szCs w:val="22"/>
          <w:lang w:val="en-US"/>
        </w:rPr>
        <w:t xml:space="preserve">, L., </w:t>
      </w:r>
      <w:proofErr w:type="spellStart"/>
      <w:r>
        <w:rPr>
          <w:szCs w:val="22"/>
          <w:lang w:val="en-US"/>
        </w:rPr>
        <w:t>Franzen</w:t>
      </w:r>
      <w:proofErr w:type="spellEnd"/>
      <w:r>
        <w:rPr>
          <w:szCs w:val="22"/>
          <w:lang w:val="en-US"/>
        </w:rPr>
        <w:t>, B. J., Healey, T.,… Young, A. (2009). Burn rehabilitation and research: proceedings of a Consensus Summit. J Burn Care Res, 30:543-73.</w:t>
      </w:r>
    </w:p>
    <w:p w:rsidR="001250D4" w:rsidRDefault="001250D4" w:rsidP="001250D4">
      <w:pPr>
        <w:pStyle w:val="Pargrafoda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67" w:hanging="284"/>
        <w:jc w:val="both"/>
        <w:rPr>
          <w:rFonts w:eastAsia="Calibri"/>
          <w:bCs/>
          <w:lang w:val="en-US" w:eastAsia="en-US"/>
        </w:rPr>
      </w:pPr>
    </w:p>
    <w:p w:rsidR="001250D4" w:rsidRPr="001250D4" w:rsidRDefault="001250D4" w:rsidP="00B15FE6">
      <w:pPr>
        <w:pStyle w:val="PargrafodaLista"/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84"/>
        <w:jc w:val="both"/>
        <w:rPr>
          <w:lang w:val="en-US"/>
        </w:rPr>
      </w:pPr>
      <w:proofErr w:type="spellStart"/>
      <w:r w:rsidRPr="001250D4">
        <w:rPr>
          <w:lang w:val="en-US"/>
        </w:rPr>
        <w:t>Ringo</w:t>
      </w:r>
      <w:proofErr w:type="spellEnd"/>
      <w:r w:rsidRPr="001250D4">
        <w:rPr>
          <w:lang w:val="en-US"/>
        </w:rPr>
        <w:t xml:space="preserve">, Y., &amp; </w:t>
      </w:r>
      <w:proofErr w:type="spellStart"/>
      <w:r w:rsidRPr="001250D4">
        <w:rPr>
          <w:lang w:val="en-US"/>
        </w:rPr>
        <w:t>Chilonga</w:t>
      </w:r>
      <w:proofErr w:type="spellEnd"/>
      <w:r w:rsidRPr="001250D4">
        <w:rPr>
          <w:lang w:val="en-US"/>
        </w:rPr>
        <w:t>, K. (2014). Burns at KCMC: Epidemiology, presentation, management and treatment outcome. Burns, 40:1024-29.</w:t>
      </w:r>
    </w:p>
    <w:p w:rsidR="001250D4" w:rsidRPr="001250D4" w:rsidRDefault="001250D4" w:rsidP="00B15FE6">
      <w:pPr>
        <w:pStyle w:val="PargrafodaLista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84"/>
        <w:rPr>
          <w:rFonts w:eastAsia="Calibri"/>
          <w:bCs/>
          <w:lang w:val="en-US" w:eastAsia="en-US"/>
        </w:rPr>
      </w:pPr>
    </w:p>
    <w:p w:rsidR="001250D4" w:rsidRPr="001250D4" w:rsidRDefault="001250D4" w:rsidP="00B15FE6">
      <w:pPr>
        <w:pStyle w:val="PargrafodaLista"/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67" w:hanging="284"/>
        <w:jc w:val="both"/>
        <w:rPr>
          <w:lang w:val="en-US"/>
        </w:rPr>
      </w:pPr>
      <w:r w:rsidRPr="001250D4">
        <w:rPr>
          <w:rFonts w:eastAsia="Calibri"/>
          <w:bCs/>
          <w:lang w:val="en-US" w:eastAsia="en-US"/>
        </w:rPr>
        <w:t xml:space="preserve">Ripper, S., </w:t>
      </w:r>
      <w:proofErr w:type="spellStart"/>
      <w:r w:rsidRPr="001250D4">
        <w:rPr>
          <w:rFonts w:eastAsia="Calibri"/>
          <w:bCs/>
          <w:lang w:val="en-US" w:eastAsia="en-US"/>
        </w:rPr>
        <w:t>Renneberg</w:t>
      </w:r>
      <w:proofErr w:type="spellEnd"/>
      <w:r w:rsidRPr="001250D4">
        <w:rPr>
          <w:rFonts w:eastAsia="Calibri"/>
          <w:bCs/>
          <w:lang w:val="en-US" w:eastAsia="en-US"/>
        </w:rPr>
        <w:t xml:space="preserve">, B., </w:t>
      </w:r>
      <w:proofErr w:type="spellStart"/>
      <w:r w:rsidRPr="001250D4">
        <w:rPr>
          <w:rFonts w:eastAsia="Calibri"/>
          <w:bCs/>
          <w:lang w:val="en-US" w:eastAsia="en-US"/>
        </w:rPr>
        <w:t>Landmann</w:t>
      </w:r>
      <w:proofErr w:type="spellEnd"/>
      <w:r w:rsidRPr="001250D4">
        <w:rPr>
          <w:rFonts w:eastAsia="Calibri"/>
          <w:bCs/>
          <w:lang w:val="en-US" w:eastAsia="en-US"/>
        </w:rPr>
        <w:t xml:space="preserve">, C., </w:t>
      </w:r>
      <w:proofErr w:type="spellStart"/>
      <w:r w:rsidRPr="001250D4">
        <w:rPr>
          <w:rFonts w:eastAsia="Calibri"/>
          <w:bCs/>
          <w:lang w:val="en-US" w:eastAsia="en-US"/>
        </w:rPr>
        <w:t>Weigel</w:t>
      </w:r>
      <w:proofErr w:type="spellEnd"/>
      <w:r w:rsidRPr="001250D4">
        <w:rPr>
          <w:rFonts w:eastAsia="Calibri"/>
          <w:bCs/>
          <w:lang w:val="en-US" w:eastAsia="en-US"/>
        </w:rPr>
        <w:t>, G.</w:t>
      </w:r>
      <w:proofErr w:type="gramStart"/>
      <w:r w:rsidRPr="001250D4">
        <w:rPr>
          <w:rFonts w:eastAsia="Calibri"/>
          <w:bCs/>
          <w:lang w:val="en-US" w:eastAsia="en-US"/>
        </w:rPr>
        <w:t>,  &amp;</w:t>
      </w:r>
      <w:proofErr w:type="gramEnd"/>
      <w:r w:rsidRPr="001250D4">
        <w:rPr>
          <w:rFonts w:eastAsia="Calibri"/>
          <w:bCs/>
          <w:lang w:val="en-US" w:eastAsia="en-US"/>
        </w:rPr>
        <w:t xml:space="preserve"> </w:t>
      </w:r>
      <w:proofErr w:type="spellStart"/>
      <w:r w:rsidRPr="001250D4">
        <w:rPr>
          <w:rFonts w:eastAsia="Calibri"/>
          <w:bCs/>
          <w:lang w:val="en-US" w:eastAsia="en-US"/>
        </w:rPr>
        <w:t>Germann</w:t>
      </w:r>
      <w:proofErr w:type="spellEnd"/>
      <w:r w:rsidRPr="001250D4">
        <w:rPr>
          <w:rFonts w:eastAsia="Calibri"/>
          <w:bCs/>
          <w:lang w:val="en-US" w:eastAsia="en-US"/>
        </w:rPr>
        <w:t xml:space="preserve">, G. (2009). Adherence to pressure </w:t>
      </w:r>
      <w:proofErr w:type="spellStart"/>
      <w:r w:rsidRPr="001250D4">
        <w:rPr>
          <w:rFonts w:eastAsia="Calibri"/>
          <w:bCs/>
          <w:lang w:val="en-US" w:eastAsia="en-US"/>
        </w:rPr>
        <w:t>garmet</w:t>
      </w:r>
      <w:proofErr w:type="spellEnd"/>
      <w:r w:rsidRPr="001250D4">
        <w:rPr>
          <w:rFonts w:eastAsia="Calibri"/>
          <w:bCs/>
          <w:lang w:val="en-US" w:eastAsia="en-US"/>
        </w:rPr>
        <w:t xml:space="preserve"> therapy in adult burn patients. Burns, 35:657-64.</w:t>
      </w:r>
    </w:p>
    <w:p w:rsidR="001250D4" w:rsidRPr="001250D4" w:rsidRDefault="001250D4" w:rsidP="00B15FE6">
      <w:pPr>
        <w:pStyle w:val="PargrafodaLista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84"/>
        <w:rPr>
          <w:shd w:val="clear" w:color="auto" w:fill="FFFFFF"/>
          <w:lang w:val="en-US"/>
        </w:rPr>
      </w:pPr>
    </w:p>
    <w:p w:rsidR="001250D4" w:rsidRPr="001250D4" w:rsidRDefault="001250D4" w:rsidP="00B15FE6">
      <w:pPr>
        <w:pStyle w:val="PargrafodaLista"/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67" w:hanging="284"/>
        <w:jc w:val="both"/>
      </w:pPr>
      <w:proofErr w:type="spellStart"/>
      <w:r w:rsidRPr="001250D4">
        <w:t>Sierra-Zúñiga</w:t>
      </w:r>
      <w:proofErr w:type="spellEnd"/>
      <w:r w:rsidRPr="001250D4">
        <w:t>, M. F., Castro-Delgado, O. E</w:t>
      </w:r>
      <w:proofErr w:type="gramStart"/>
      <w:r w:rsidRPr="001250D4">
        <w:t>.,</w:t>
      </w:r>
      <w:proofErr w:type="gramEnd"/>
      <w:r w:rsidRPr="001250D4">
        <w:t xml:space="preserve"> </w:t>
      </w:r>
      <w:proofErr w:type="spellStart"/>
      <w:r w:rsidRPr="001250D4">
        <w:t>Caicedo-Caicedo</w:t>
      </w:r>
      <w:proofErr w:type="spellEnd"/>
      <w:r w:rsidRPr="001250D4">
        <w:t xml:space="preserve">, J. C., </w:t>
      </w:r>
      <w:proofErr w:type="spellStart"/>
      <w:r w:rsidRPr="001250D4">
        <w:t>Merchán-Galvis</w:t>
      </w:r>
      <w:proofErr w:type="spellEnd"/>
      <w:r w:rsidRPr="001250D4">
        <w:t>, A. M., &amp; Delgado-</w:t>
      </w:r>
      <w:proofErr w:type="spellStart"/>
      <w:r w:rsidRPr="001250D4">
        <w:t>Noguera</w:t>
      </w:r>
      <w:proofErr w:type="spellEnd"/>
      <w:r w:rsidRPr="001250D4">
        <w:t xml:space="preserve">, M. (2013). </w:t>
      </w:r>
      <w:r w:rsidRPr="001250D4">
        <w:rPr>
          <w:lang w:val="en-US"/>
        </w:rPr>
        <w:t xml:space="preserve">Epidemiological profile of minor and moderate burn victims at the University Hospital San José, </w:t>
      </w:r>
      <w:proofErr w:type="spellStart"/>
      <w:r w:rsidRPr="001250D4">
        <w:rPr>
          <w:lang w:val="en-US"/>
        </w:rPr>
        <w:t>Popayán</w:t>
      </w:r>
      <w:proofErr w:type="spellEnd"/>
      <w:r w:rsidRPr="001250D4">
        <w:rPr>
          <w:lang w:val="en-US"/>
        </w:rPr>
        <w:t xml:space="preserve">, Colombia, 2000–2010. </w:t>
      </w:r>
      <w:r w:rsidRPr="001250D4">
        <w:t xml:space="preserve">Burns, </w:t>
      </w:r>
      <w:proofErr w:type="gramStart"/>
      <w:r w:rsidRPr="001250D4">
        <w:t>39:1012</w:t>
      </w:r>
      <w:proofErr w:type="gramEnd"/>
      <w:r w:rsidRPr="001250D4">
        <w:t>-17.</w:t>
      </w:r>
    </w:p>
    <w:p w:rsidR="001250D4" w:rsidRPr="001250D4" w:rsidRDefault="001250D4" w:rsidP="00B15FE6">
      <w:pPr>
        <w:pStyle w:val="PargrafodaLista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84"/>
        <w:rPr>
          <w:shd w:val="clear" w:color="auto" w:fill="FFFFFF"/>
        </w:rPr>
      </w:pPr>
    </w:p>
    <w:p w:rsidR="001250D4" w:rsidRDefault="001250D4" w:rsidP="00B15FE6">
      <w:pPr>
        <w:pStyle w:val="PargrafodaLista"/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67" w:hanging="284"/>
        <w:jc w:val="both"/>
        <w:rPr>
          <w:rStyle w:val="Hyperlink"/>
        </w:rPr>
      </w:pPr>
      <w:r w:rsidRPr="001250D4">
        <w:rPr>
          <w:shd w:val="clear" w:color="auto" w:fill="FFFFFF"/>
        </w:rPr>
        <w:t xml:space="preserve">Silva, H. T. S., Almeida, J. S., Souza, S. I. F., Costa, I. M. P. (2008). Queimaduras: um </w:t>
      </w:r>
      <w:r>
        <w:rPr>
          <w:shd w:val="clear" w:color="auto" w:fill="FFFFFF"/>
        </w:rPr>
        <w:t xml:space="preserve">estudo de caso na unidade de tratamento de queimados do hospital público do oeste, em Barreiras-BA. </w:t>
      </w:r>
      <w:proofErr w:type="spellStart"/>
      <w:r>
        <w:rPr>
          <w:shd w:val="clear" w:color="auto" w:fill="FFFFFF"/>
        </w:rPr>
        <w:t>Rev</w:t>
      </w:r>
      <w:proofErr w:type="spellEnd"/>
      <w:r>
        <w:rPr>
          <w:shd w:val="clear" w:color="auto" w:fill="FFFFFF"/>
        </w:rPr>
        <w:t xml:space="preserve"> Digital </w:t>
      </w:r>
      <w:proofErr w:type="spellStart"/>
      <w:r>
        <w:rPr>
          <w:shd w:val="clear" w:color="auto" w:fill="FFFFFF"/>
        </w:rPr>
        <w:t>Pesq</w:t>
      </w:r>
      <w:proofErr w:type="spellEnd"/>
      <w:r>
        <w:rPr>
          <w:shd w:val="clear" w:color="auto" w:fill="FFFFFF"/>
        </w:rPr>
        <w:t xml:space="preserve"> ‘</w:t>
      </w:r>
      <w:proofErr w:type="spellStart"/>
      <w:proofErr w:type="gramStart"/>
      <w:r>
        <w:rPr>
          <w:shd w:val="clear" w:color="auto" w:fill="FFFFFF"/>
        </w:rPr>
        <w:t>ConquerFac</w:t>
      </w:r>
      <w:proofErr w:type="spellEnd"/>
      <w:proofErr w:type="gramEnd"/>
      <w:r>
        <w:rPr>
          <w:shd w:val="clear" w:color="auto" w:fill="FFFFFF"/>
        </w:rPr>
        <w:t xml:space="preserve"> São Francisco de Barreiras.[Acesso 23 agosto 2014] Disponível em: </w:t>
      </w:r>
      <w:hyperlink r:id="rId8" w:tgtFrame="_blank" w:history="1">
        <w:r>
          <w:rPr>
            <w:rStyle w:val="Hyperlink"/>
            <w:shd w:val="clear" w:color="auto" w:fill="FFFFFF"/>
          </w:rPr>
          <w:t>http://www.fasb.edu.br/revistaindex.php/conquer/article/viewFile/84/61</w:t>
        </w:r>
      </w:hyperlink>
    </w:p>
    <w:p w:rsidR="001250D4" w:rsidRDefault="001250D4" w:rsidP="00B15FE6">
      <w:pPr>
        <w:pStyle w:val="PargrafodaLista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84"/>
        <w:rPr>
          <w:rStyle w:val="Hyperlink"/>
        </w:rPr>
      </w:pPr>
    </w:p>
    <w:p w:rsidR="001250D4" w:rsidRDefault="00B15FE6" w:rsidP="00B15FE6">
      <w:pPr>
        <w:pStyle w:val="PargrafodaLista"/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67" w:hanging="284"/>
        <w:jc w:val="both"/>
        <w:rPr>
          <w:lang w:val="en-US"/>
        </w:rPr>
      </w:pPr>
      <w:r w:rsidRPr="00B15FE6">
        <w:rPr>
          <w:lang w:val="en-US"/>
        </w:rPr>
        <w:t xml:space="preserve">Sun, C. F., </w:t>
      </w:r>
      <w:proofErr w:type="spellStart"/>
      <w:r w:rsidRPr="00B15FE6">
        <w:rPr>
          <w:lang w:val="en-US"/>
        </w:rPr>
        <w:t>Lv</w:t>
      </w:r>
      <w:proofErr w:type="spellEnd"/>
      <w:r w:rsidRPr="00B15FE6">
        <w:rPr>
          <w:lang w:val="en-US"/>
        </w:rPr>
        <w:t xml:space="preserve">, X. </w:t>
      </w:r>
      <w:r w:rsidR="001250D4" w:rsidRPr="00B15FE6">
        <w:rPr>
          <w:lang w:val="en-US"/>
        </w:rPr>
        <w:t>X.</w:t>
      </w:r>
      <w:r w:rsidRPr="00B15FE6">
        <w:rPr>
          <w:lang w:val="en-US"/>
        </w:rPr>
        <w:t>, Li, Y. J., Li, W. Z., Jiang, L., Li, J.</w:t>
      </w:r>
      <w:r>
        <w:rPr>
          <w:lang w:val="en-US"/>
        </w:rPr>
        <w:t>,…</w:t>
      </w:r>
      <w:r w:rsidR="001250D4" w:rsidRPr="00B15FE6">
        <w:rPr>
          <w:lang w:val="en-US"/>
        </w:rPr>
        <w:t xml:space="preserve"> </w:t>
      </w:r>
      <w:r w:rsidR="001250D4">
        <w:rPr>
          <w:lang w:val="en-US"/>
        </w:rPr>
        <w:t>Li, X. Y. (2012). Epidemiological studies of electrical injuries in Shaanxi Province of China: A retrospective report of 383 cases. Burns, 38:568-72.</w:t>
      </w:r>
    </w:p>
    <w:p w:rsidR="001250D4" w:rsidRDefault="001250D4" w:rsidP="00B15FE6">
      <w:pPr>
        <w:pStyle w:val="PargrafodaLista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84"/>
        <w:rPr>
          <w:rStyle w:val="Hyperlink"/>
        </w:rPr>
      </w:pPr>
    </w:p>
    <w:p w:rsidR="001250D4" w:rsidRDefault="001250D4" w:rsidP="00B15FE6">
      <w:pPr>
        <w:pStyle w:val="PargrafodaLista"/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84"/>
        <w:jc w:val="both"/>
      </w:pPr>
      <w:proofErr w:type="spellStart"/>
      <w:r>
        <w:rPr>
          <w:lang w:val="en-US"/>
        </w:rPr>
        <w:t>Smailes</w:t>
      </w:r>
      <w:proofErr w:type="spellEnd"/>
      <w:r>
        <w:rPr>
          <w:lang w:val="en-US"/>
        </w:rPr>
        <w:t xml:space="preserve">, S. T., </w:t>
      </w:r>
      <w:proofErr w:type="spellStart"/>
      <w:r>
        <w:rPr>
          <w:lang w:val="en-US"/>
        </w:rPr>
        <w:t>Engelsman</w:t>
      </w:r>
      <w:proofErr w:type="spellEnd"/>
      <w:r>
        <w:rPr>
          <w:lang w:val="en-US"/>
        </w:rPr>
        <w:t xml:space="preserve">, K., &amp; </w:t>
      </w:r>
      <w:proofErr w:type="spellStart"/>
      <w:r>
        <w:rPr>
          <w:lang w:val="en-US"/>
        </w:rPr>
        <w:t>Dziewulski</w:t>
      </w:r>
      <w:proofErr w:type="spellEnd"/>
      <w:r>
        <w:rPr>
          <w:lang w:val="en-US"/>
        </w:rPr>
        <w:t>, P. (2013) Physical functional outcome assessment of patients with major burns admitted to a UK Burn Intensive Care Unit. Burns, 39:37-43.</w:t>
      </w:r>
    </w:p>
    <w:p w:rsidR="001250D4" w:rsidRDefault="001250D4" w:rsidP="00B15FE6">
      <w:pPr>
        <w:pStyle w:val="PargrafodaLista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84"/>
        <w:rPr>
          <w:lang w:val="en-US"/>
        </w:rPr>
      </w:pPr>
    </w:p>
    <w:p w:rsidR="001250D4" w:rsidRDefault="001250D4" w:rsidP="00B15FE6">
      <w:pPr>
        <w:pStyle w:val="PargrafodaLista"/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67" w:hanging="284"/>
        <w:jc w:val="both"/>
        <w:rPr>
          <w:lang w:val="en-US"/>
        </w:rPr>
      </w:pPr>
      <w:r>
        <w:rPr>
          <w:bCs/>
          <w:szCs w:val="20"/>
          <w:lang w:val="en-US"/>
        </w:rPr>
        <w:t xml:space="preserve">Stockton, K. A., Davis, M. J., Brown, M. G., Boots, R., &amp; </w:t>
      </w:r>
      <w:proofErr w:type="spellStart"/>
      <w:r>
        <w:rPr>
          <w:bCs/>
          <w:szCs w:val="20"/>
          <w:lang w:val="en-US"/>
        </w:rPr>
        <w:t>Paratz</w:t>
      </w:r>
      <w:proofErr w:type="spellEnd"/>
      <w:r>
        <w:rPr>
          <w:bCs/>
          <w:szCs w:val="20"/>
          <w:lang w:val="en-US"/>
        </w:rPr>
        <w:t xml:space="preserve">, J.D. (2012). </w:t>
      </w:r>
      <w:r>
        <w:rPr>
          <w:bCs/>
          <w:szCs w:val="38"/>
          <w:lang w:val="en-US"/>
        </w:rPr>
        <w:t xml:space="preserve">Physiological responses to maximal exercise testing and the modified incremental shuttle walk test in adults after thermal injury: a pilot study. </w:t>
      </w:r>
      <w:r>
        <w:rPr>
          <w:bCs/>
          <w:szCs w:val="18"/>
          <w:lang w:val="en-US"/>
        </w:rPr>
        <w:t>J Burn Care Res, 33:252–258.</w:t>
      </w:r>
    </w:p>
    <w:p w:rsidR="001250D4" w:rsidRDefault="001250D4" w:rsidP="00B15FE6">
      <w:pPr>
        <w:pStyle w:val="PargrafodaLista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84"/>
        <w:rPr>
          <w:lang w:val="en-US"/>
        </w:rPr>
      </w:pPr>
    </w:p>
    <w:p w:rsidR="001250D4" w:rsidRDefault="001250D4" w:rsidP="00B15FE6">
      <w:pPr>
        <w:pStyle w:val="PargrafodaLista"/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67" w:hanging="284"/>
        <w:jc w:val="both"/>
        <w:rPr>
          <w:lang w:val="en-US"/>
        </w:rPr>
      </w:pPr>
      <w:proofErr w:type="spellStart"/>
      <w:r>
        <w:rPr>
          <w:rFonts w:eastAsia="Calibri"/>
          <w:lang w:val="en-US" w:eastAsia="en-US"/>
        </w:rPr>
        <w:t>Theodorou</w:t>
      </w:r>
      <w:proofErr w:type="spellEnd"/>
      <w:r>
        <w:rPr>
          <w:rFonts w:eastAsia="Calibri"/>
          <w:lang w:val="en-US" w:eastAsia="en-US"/>
        </w:rPr>
        <w:t xml:space="preserve">, P., </w:t>
      </w:r>
      <w:proofErr w:type="spellStart"/>
      <w:r>
        <w:rPr>
          <w:rFonts w:eastAsia="Calibri"/>
          <w:lang w:val="en-US" w:eastAsia="en-US"/>
        </w:rPr>
        <w:t>Xu</w:t>
      </w:r>
      <w:proofErr w:type="spellEnd"/>
      <w:r>
        <w:rPr>
          <w:rFonts w:eastAsia="Calibri"/>
          <w:lang w:val="en-US" w:eastAsia="en-US"/>
        </w:rPr>
        <w:t xml:space="preserve">, W., </w:t>
      </w:r>
      <w:proofErr w:type="spellStart"/>
      <w:r>
        <w:rPr>
          <w:rFonts w:eastAsia="Calibri"/>
          <w:lang w:val="en-US" w:eastAsia="en-US"/>
        </w:rPr>
        <w:t>Weinand</w:t>
      </w:r>
      <w:proofErr w:type="spellEnd"/>
      <w:r>
        <w:rPr>
          <w:rFonts w:eastAsia="Calibri"/>
          <w:lang w:val="en-US" w:eastAsia="en-US"/>
        </w:rPr>
        <w:t xml:space="preserve">, C., </w:t>
      </w:r>
      <w:proofErr w:type="spellStart"/>
      <w:r>
        <w:rPr>
          <w:rFonts w:eastAsia="Calibri"/>
          <w:lang w:val="en-US" w:eastAsia="en-US"/>
        </w:rPr>
        <w:t>Perbix</w:t>
      </w:r>
      <w:proofErr w:type="spellEnd"/>
      <w:r>
        <w:rPr>
          <w:rFonts w:eastAsia="Calibri"/>
          <w:lang w:val="en-US" w:eastAsia="en-US"/>
        </w:rPr>
        <w:t xml:space="preserve">, W., &amp; </w:t>
      </w:r>
      <w:proofErr w:type="spellStart"/>
      <w:r>
        <w:rPr>
          <w:rFonts w:eastAsia="Calibri"/>
          <w:lang w:val="en-US" w:eastAsia="en-US"/>
        </w:rPr>
        <w:t>Maegele</w:t>
      </w:r>
      <w:proofErr w:type="spellEnd"/>
      <w:r>
        <w:rPr>
          <w:rFonts w:eastAsia="Calibri"/>
          <w:lang w:val="en-US" w:eastAsia="en-US"/>
        </w:rPr>
        <w:t>, M. (2013). Incidence and treatment of burns: A twenty-year experience from a single center in Germany. Burns, 39:49-54.</w:t>
      </w:r>
    </w:p>
    <w:p w:rsidR="001250D4" w:rsidRDefault="001250D4" w:rsidP="00B15FE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67" w:hanging="284"/>
        <w:jc w:val="both"/>
        <w:rPr>
          <w:lang w:val="en-US"/>
        </w:rPr>
      </w:pPr>
    </w:p>
    <w:p w:rsidR="001250D4" w:rsidRDefault="001250D4" w:rsidP="00B15FE6">
      <w:pPr>
        <w:pStyle w:val="PargrafodaLista"/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67" w:hanging="284"/>
        <w:jc w:val="both"/>
        <w:rPr>
          <w:lang w:val="en-US"/>
        </w:rPr>
      </w:pPr>
      <w:proofErr w:type="spellStart"/>
      <w:r>
        <w:rPr>
          <w:rFonts w:eastAsia="Calibri"/>
          <w:bCs/>
          <w:lang w:val="en-US" w:eastAsia="en-US"/>
        </w:rPr>
        <w:t>Ullrich</w:t>
      </w:r>
      <w:proofErr w:type="spellEnd"/>
      <w:r>
        <w:rPr>
          <w:rFonts w:eastAsia="Calibri"/>
          <w:bCs/>
          <w:lang w:val="en-US" w:eastAsia="en-US"/>
        </w:rPr>
        <w:t>, P. M.</w:t>
      </w:r>
      <w:r>
        <w:rPr>
          <w:rFonts w:eastAsia="Calibri"/>
          <w:lang w:val="en-US" w:eastAsia="en-US"/>
        </w:rPr>
        <w:t xml:space="preserve">, </w:t>
      </w:r>
      <w:proofErr w:type="spellStart"/>
      <w:r>
        <w:rPr>
          <w:rFonts w:eastAsia="Calibri"/>
          <w:bCs/>
          <w:lang w:val="en-US" w:eastAsia="en-US"/>
        </w:rPr>
        <w:t>Askay</w:t>
      </w:r>
      <w:proofErr w:type="spellEnd"/>
      <w:r>
        <w:rPr>
          <w:rFonts w:eastAsia="Calibri"/>
          <w:bCs/>
          <w:lang w:val="en-US" w:eastAsia="en-US"/>
        </w:rPr>
        <w:t>, S. W.</w:t>
      </w:r>
      <w:r>
        <w:rPr>
          <w:rFonts w:eastAsia="Calibri"/>
          <w:lang w:val="en-US" w:eastAsia="en-US"/>
        </w:rPr>
        <w:t xml:space="preserve">, &amp; </w:t>
      </w:r>
      <w:r>
        <w:rPr>
          <w:rFonts w:eastAsia="Calibri"/>
          <w:bCs/>
          <w:lang w:val="en-US" w:eastAsia="en-US"/>
        </w:rPr>
        <w:t xml:space="preserve">Patterson, D. R. (2009). Pain, depression, and physical functioning following burn injury. </w:t>
      </w:r>
      <w:proofErr w:type="spellStart"/>
      <w:r>
        <w:rPr>
          <w:rFonts w:eastAsia="Calibri"/>
          <w:iCs/>
          <w:lang w:val="en-US" w:eastAsia="en-US"/>
        </w:rPr>
        <w:t>Rehabil</w:t>
      </w:r>
      <w:proofErr w:type="spellEnd"/>
      <w:r>
        <w:rPr>
          <w:rFonts w:eastAsia="Calibri"/>
          <w:iCs/>
          <w:lang w:val="en-US" w:eastAsia="en-US"/>
        </w:rPr>
        <w:t xml:space="preserve"> Psychol</w:t>
      </w:r>
      <w:r>
        <w:rPr>
          <w:rFonts w:eastAsia="Calibri"/>
          <w:lang w:val="en-US" w:eastAsia="en-US"/>
        </w:rPr>
        <w:t>. 54(2): 211–216.</w:t>
      </w:r>
    </w:p>
    <w:p w:rsidR="001250D4" w:rsidRDefault="001250D4" w:rsidP="00B15FE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67" w:hanging="284"/>
        <w:jc w:val="both"/>
        <w:rPr>
          <w:lang w:val="en-US"/>
        </w:rPr>
      </w:pPr>
    </w:p>
    <w:p w:rsidR="001250D4" w:rsidRDefault="001250D4" w:rsidP="00B15FE6">
      <w:pPr>
        <w:pStyle w:val="PargrafodaLista"/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67" w:hanging="284"/>
        <w:jc w:val="both"/>
        <w:rPr>
          <w:lang w:val="en-US"/>
        </w:rPr>
      </w:pPr>
      <w:r>
        <w:t xml:space="preserve">Vale, E. C. S. (2005). Primeiro atendimento em queimaduras: a abordagem do dermatologista. </w:t>
      </w:r>
      <w:proofErr w:type="gramStart"/>
      <w:r>
        <w:rPr>
          <w:lang w:val="en-US"/>
        </w:rPr>
        <w:t>An</w:t>
      </w:r>
      <w:proofErr w:type="gramEnd"/>
      <w:r>
        <w:rPr>
          <w:lang w:val="en-US"/>
        </w:rPr>
        <w:t xml:space="preserve"> Bras </w:t>
      </w:r>
      <w:proofErr w:type="spellStart"/>
      <w:r>
        <w:rPr>
          <w:lang w:val="en-US"/>
        </w:rPr>
        <w:t>Dermatol</w:t>
      </w:r>
      <w:proofErr w:type="spellEnd"/>
      <w:r>
        <w:rPr>
          <w:lang w:val="en-US"/>
        </w:rPr>
        <w:t>, 80 (1): 9-19.</w:t>
      </w:r>
    </w:p>
    <w:p w:rsidR="001250D4" w:rsidRDefault="001250D4" w:rsidP="00B15FE6">
      <w:pPr>
        <w:pStyle w:val="PargrafodaLista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84"/>
        <w:rPr>
          <w:lang w:val="en-US"/>
        </w:rPr>
      </w:pPr>
    </w:p>
    <w:p w:rsidR="001250D4" w:rsidRDefault="001250D4" w:rsidP="00B15FE6">
      <w:pPr>
        <w:pStyle w:val="PargrafodaLista"/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67" w:hanging="284"/>
        <w:jc w:val="both"/>
        <w:rPr>
          <w:lang w:val="en-US"/>
        </w:rPr>
      </w:pPr>
      <w:r>
        <w:rPr>
          <w:lang w:val="en-US"/>
        </w:rPr>
        <w:t xml:space="preserve">Van </w:t>
      </w:r>
      <w:proofErr w:type="spellStart"/>
      <w:r>
        <w:rPr>
          <w:lang w:val="en-US"/>
        </w:rPr>
        <w:t>Loey</w:t>
      </w:r>
      <w:proofErr w:type="spellEnd"/>
      <w:r>
        <w:rPr>
          <w:lang w:val="en-US"/>
        </w:rPr>
        <w:t xml:space="preserve">, N. E., Shoot, R. V., </w:t>
      </w:r>
      <w:proofErr w:type="spellStart"/>
      <w:r>
        <w:rPr>
          <w:lang w:val="en-US"/>
        </w:rPr>
        <w:t>Gerdin</w:t>
      </w:r>
      <w:proofErr w:type="spellEnd"/>
      <w:r>
        <w:rPr>
          <w:lang w:val="en-US"/>
        </w:rPr>
        <w:t xml:space="preserve">, B., Faber, A. W., </w:t>
      </w:r>
      <w:proofErr w:type="spellStart"/>
      <w:r>
        <w:rPr>
          <w:lang w:val="en-US"/>
        </w:rPr>
        <w:t>Sjo¨berg</w:t>
      </w:r>
      <w:proofErr w:type="spellEnd"/>
      <w:r>
        <w:rPr>
          <w:lang w:val="en-US"/>
        </w:rPr>
        <w:t xml:space="preserve">, F., &amp; </w:t>
      </w:r>
      <w:proofErr w:type="spellStart"/>
      <w:r>
        <w:rPr>
          <w:lang w:val="en-US"/>
        </w:rPr>
        <w:t>Willebrand</w:t>
      </w:r>
      <w:proofErr w:type="spellEnd"/>
      <w:r>
        <w:rPr>
          <w:lang w:val="en-US"/>
        </w:rPr>
        <w:t xml:space="preserve">, M. (2011). The Burn Specific Health Scale-Brief: measurement invariant across European countries. J Trauma Acute Care </w:t>
      </w:r>
      <w:proofErr w:type="spellStart"/>
      <w:r>
        <w:rPr>
          <w:lang w:val="en-US"/>
        </w:rPr>
        <w:t>Surg</w:t>
      </w:r>
      <w:proofErr w:type="spellEnd"/>
      <w:r>
        <w:rPr>
          <w:lang w:val="en-US"/>
        </w:rPr>
        <w:t>, 74(5):1321–6.</w:t>
      </w:r>
    </w:p>
    <w:p w:rsidR="001250D4" w:rsidRDefault="001250D4" w:rsidP="00B15FE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67" w:hanging="284"/>
        <w:jc w:val="both"/>
        <w:rPr>
          <w:lang w:val="en-US"/>
        </w:rPr>
      </w:pPr>
    </w:p>
    <w:p w:rsidR="001250D4" w:rsidRDefault="001250D4" w:rsidP="00B15FE6">
      <w:pPr>
        <w:pStyle w:val="PargrafodaLista"/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67" w:hanging="284"/>
        <w:jc w:val="both"/>
        <w:rPr>
          <w:lang w:val="en-US"/>
        </w:rPr>
      </w:pPr>
      <w:proofErr w:type="spellStart"/>
      <w:r>
        <w:rPr>
          <w:rFonts w:eastAsia="Calibri"/>
          <w:lang w:val="en-US" w:eastAsia="en-US"/>
        </w:rPr>
        <w:lastRenderedPageBreak/>
        <w:t>Vendrusculo</w:t>
      </w:r>
      <w:proofErr w:type="spellEnd"/>
      <w:r>
        <w:rPr>
          <w:rFonts w:eastAsia="Calibri"/>
          <w:lang w:val="en-US" w:eastAsia="en-US"/>
        </w:rPr>
        <w:t xml:space="preserve">, T. M., </w:t>
      </w:r>
      <w:proofErr w:type="spellStart"/>
      <w:r>
        <w:rPr>
          <w:rFonts w:eastAsia="Calibri"/>
          <w:lang w:val="en-US" w:eastAsia="en-US"/>
        </w:rPr>
        <w:t>Balieiro</w:t>
      </w:r>
      <w:proofErr w:type="spellEnd"/>
      <w:r>
        <w:rPr>
          <w:rFonts w:eastAsia="Calibri"/>
          <w:lang w:val="en-US" w:eastAsia="en-US"/>
        </w:rPr>
        <w:t xml:space="preserve">, C. R. B., </w:t>
      </w:r>
      <w:proofErr w:type="spellStart"/>
      <w:r>
        <w:rPr>
          <w:rFonts w:eastAsia="Calibri"/>
          <w:lang w:val="en-US" w:eastAsia="en-US"/>
        </w:rPr>
        <w:t>Echevarría-Guanilo</w:t>
      </w:r>
      <w:proofErr w:type="spellEnd"/>
      <w:r>
        <w:rPr>
          <w:rFonts w:eastAsia="Calibri"/>
          <w:lang w:val="en-US" w:eastAsia="en-US"/>
        </w:rPr>
        <w:t xml:space="preserve">, M. E. , Farina Junior, J. A.,  &amp; Rossi, L. A. (2010) Burns in the domestic environment: characteristics and circumstances of accidents. Rev </w:t>
      </w:r>
      <w:proofErr w:type="spellStart"/>
      <w:r>
        <w:rPr>
          <w:rFonts w:eastAsia="Calibri"/>
          <w:lang w:val="en-US" w:eastAsia="en-US"/>
        </w:rPr>
        <w:t>Latinoam</w:t>
      </w:r>
      <w:proofErr w:type="spellEnd"/>
      <w:r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Enferm</w:t>
      </w:r>
      <w:proofErr w:type="spellEnd"/>
      <w:r>
        <w:rPr>
          <w:rFonts w:eastAsia="Calibri"/>
          <w:lang w:val="en-US" w:eastAsia="en-US"/>
        </w:rPr>
        <w:t>, 18:444-51.</w:t>
      </w:r>
    </w:p>
    <w:p w:rsidR="001250D4" w:rsidRDefault="001250D4" w:rsidP="00B15FE6">
      <w:pPr>
        <w:pStyle w:val="PargrafodaLista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84"/>
        <w:rPr>
          <w:lang w:val="en-US"/>
        </w:rPr>
      </w:pPr>
    </w:p>
    <w:p w:rsidR="001250D4" w:rsidRDefault="001250D4" w:rsidP="00B15FE6">
      <w:pPr>
        <w:pStyle w:val="PargrafodaLista"/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/>
        <w:ind w:left="567" w:hanging="284"/>
        <w:contextualSpacing/>
        <w:jc w:val="both"/>
        <w:rPr>
          <w:lang w:val="en-US"/>
        </w:rPr>
      </w:pPr>
      <w:proofErr w:type="spellStart"/>
      <w:r>
        <w:t>Vilaró</w:t>
      </w:r>
      <w:proofErr w:type="spellEnd"/>
      <w:r>
        <w:t>, J</w:t>
      </w:r>
      <w:proofErr w:type="gramStart"/>
      <w:r>
        <w:t>.,</w:t>
      </w:r>
      <w:proofErr w:type="gramEnd"/>
      <w:r>
        <w:t xml:space="preserve"> </w:t>
      </w:r>
      <w:proofErr w:type="spellStart"/>
      <w:r>
        <w:t>Resqueti</w:t>
      </w:r>
      <w:proofErr w:type="spellEnd"/>
      <w:r>
        <w:t xml:space="preserve">, V. R., </w:t>
      </w:r>
      <w:proofErr w:type="spellStart"/>
      <w:r>
        <w:t>Fregonezi</w:t>
      </w:r>
      <w:proofErr w:type="spellEnd"/>
      <w:r>
        <w:t xml:space="preserve">, G. A. F. (2012). </w:t>
      </w:r>
      <w:r>
        <w:rPr>
          <w:lang w:val="en-US"/>
        </w:rPr>
        <w:t xml:space="preserve">Clinical assessment of exercise capacity in patients with chronic obstructive pulmonary disease. Rev Bras </w:t>
      </w:r>
      <w:proofErr w:type="spellStart"/>
      <w:r>
        <w:rPr>
          <w:lang w:val="en-US"/>
        </w:rPr>
        <w:t>Fisioter</w:t>
      </w:r>
      <w:proofErr w:type="spellEnd"/>
      <w:r>
        <w:rPr>
          <w:lang w:val="en-US"/>
        </w:rPr>
        <w:t>, 12 (4):249-259.</w:t>
      </w:r>
    </w:p>
    <w:p w:rsidR="001250D4" w:rsidRDefault="001250D4" w:rsidP="00B15FE6">
      <w:pPr>
        <w:pStyle w:val="PargrafodaLista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84"/>
        <w:rPr>
          <w:lang w:val="en-US"/>
        </w:rPr>
      </w:pPr>
    </w:p>
    <w:p w:rsidR="001250D4" w:rsidRDefault="001250D4" w:rsidP="00B15FE6">
      <w:pPr>
        <w:pStyle w:val="PargrafodaLista"/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67" w:hanging="284"/>
        <w:jc w:val="both"/>
        <w:rPr>
          <w:lang w:val="en-US"/>
        </w:rPr>
      </w:pPr>
      <w:r>
        <w:rPr>
          <w:lang w:val="en-US"/>
        </w:rPr>
        <w:t>Willett, W. (1998). Nutritional epidemiology. 2th ed. Oxford: Oxford University Press.</w:t>
      </w:r>
    </w:p>
    <w:p w:rsidR="001250D4" w:rsidRDefault="001250D4" w:rsidP="00B15FE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67" w:hanging="284"/>
        <w:jc w:val="both"/>
        <w:rPr>
          <w:lang w:val="en-US"/>
        </w:rPr>
      </w:pPr>
    </w:p>
    <w:p w:rsidR="001250D4" w:rsidRDefault="001250D4" w:rsidP="00B15FE6">
      <w:pPr>
        <w:pStyle w:val="PargrafodaLista"/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84"/>
        <w:jc w:val="both"/>
        <w:rPr>
          <w:lang w:val="en-US"/>
        </w:rPr>
      </w:pPr>
      <w:proofErr w:type="spellStart"/>
      <w:r w:rsidRPr="003973AD">
        <w:rPr>
          <w:lang w:val="en-US"/>
        </w:rPr>
        <w:t>Zayakova</w:t>
      </w:r>
      <w:proofErr w:type="spellEnd"/>
      <w:r w:rsidRPr="003973AD">
        <w:rPr>
          <w:lang w:val="en-US"/>
        </w:rPr>
        <w:t xml:space="preserve">, Y. </w:t>
      </w:r>
      <w:proofErr w:type="spellStart"/>
      <w:r w:rsidRPr="003973AD">
        <w:rPr>
          <w:lang w:val="en-US"/>
        </w:rPr>
        <w:t>Vajarov</w:t>
      </w:r>
      <w:proofErr w:type="spellEnd"/>
      <w:r w:rsidRPr="003973AD">
        <w:rPr>
          <w:lang w:val="en-US"/>
        </w:rPr>
        <w:t xml:space="preserve">, I., </w:t>
      </w:r>
      <w:proofErr w:type="spellStart"/>
      <w:r w:rsidRPr="003973AD">
        <w:rPr>
          <w:lang w:val="en-US"/>
        </w:rPr>
        <w:t>Stanev</w:t>
      </w:r>
      <w:proofErr w:type="spellEnd"/>
      <w:r w:rsidRPr="003973AD">
        <w:rPr>
          <w:lang w:val="en-US"/>
        </w:rPr>
        <w:t xml:space="preserve">, A., </w:t>
      </w:r>
      <w:proofErr w:type="spellStart"/>
      <w:r w:rsidRPr="003973AD">
        <w:rPr>
          <w:lang w:val="en-US"/>
        </w:rPr>
        <w:t>Nenkova</w:t>
      </w:r>
      <w:proofErr w:type="spellEnd"/>
      <w:r w:rsidRPr="003973AD">
        <w:rPr>
          <w:lang w:val="en-US"/>
        </w:rPr>
        <w:t xml:space="preserve">, N., &amp; </w:t>
      </w:r>
      <w:proofErr w:type="spellStart"/>
      <w:r w:rsidRPr="003973AD">
        <w:rPr>
          <w:lang w:val="en-US"/>
        </w:rPr>
        <w:t>Hristov</w:t>
      </w:r>
      <w:proofErr w:type="spellEnd"/>
      <w:r w:rsidRPr="003973AD">
        <w:rPr>
          <w:lang w:val="en-US"/>
        </w:rPr>
        <w:t xml:space="preserve">, H. (2014). </w:t>
      </w:r>
      <w:r>
        <w:rPr>
          <w:lang w:val="en-US"/>
        </w:rPr>
        <w:t>Epidemiological analysis of burn patients in East Bulgaria. Burns, 40:683-88.</w:t>
      </w:r>
    </w:p>
    <w:p w:rsidR="009C0291" w:rsidRPr="007E4C66" w:rsidRDefault="009C0291" w:rsidP="00B15FE6">
      <w:pPr>
        <w:pStyle w:val="PargrafodaLista"/>
        <w:tabs>
          <w:tab w:val="left" w:pos="709"/>
        </w:tabs>
        <w:ind w:left="0"/>
        <w:jc w:val="both"/>
        <w:rPr>
          <w:lang w:val="en-US"/>
        </w:rPr>
      </w:pPr>
    </w:p>
    <w:p w:rsidR="00295256" w:rsidRDefault="00295256" w:rsidP="00295256">
      <w:pPr>
        <w:spacing w:line="360" w:lineRule="auto"/>
        <w:jc w:val="both"/>
        <w:rPr>
          <w:lang w:val="en-US"/>
        </w:rPr>
      </w:pPr>
    </w:p>
    <w:p w:rsidR="00295256" w:rsidRPr="00295256" w:rsidRDefault="00295256" w:rsidP="00245910">
      <w:pPr>
        <w:spacing w:line="360" w:lineRule="auto"/>
        <w:jc w:val="both"/>
        <w:rPr>
          <w:lang w:val="en-US"/>
        </w:rPr>
      </w:pPr>
    </w:p>
    <w:sectPr w:rsidR="00295256" w:rsidRPr="002952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LDOPA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re Semi Serif SSi">
    <w:altName w:val="Libre Semi Serif SS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Pro Light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26072"/>
    <w:multiLevelType w:val="hybridMultilevel"/>
    <w:tmpl w:val="32BCB9AA"/>
    <w:lvl w:ilvl="0" w:tplc="52B8CA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291"/>
    <w:rsid w:val="00005465"/>
    <w:rsid w:val="00123E4F"/>
    <w:rsid w:val="001250D4"/>
    <w:rsid w:val="00164F3D"/>
    <w:rsid w:val="001B7147"/>
    <w:rsid w:val="00216B7D"/>
    <w:rsid w:val="00245910"/>
    <w:rsid w:val="00292FA4"/>
    <w:rsid w:val="00295256"/>
    <w:rsid w:val="00303D75"/>
    <w:rsid w:val="003601BB"/>
    <w:rsid w:val="00380807"/>
    <w:rsid w:val="00385E7A"/>
    <w:rsid w:val="003973AD"/>
    <w:rsid w:val="004F1228"/>
    <w:rsid w:val="00543C4C"/>
    <w:rsid w:val="005710F5"/>
    <w:rsid w:val="005A5066"/>
    <w:rsid w:val="005F7DFE"/>
    <w:rsid w:val="00682EBA"/>
    <w:rsid w:val="006C23C4"/>
    <w:rsid w:val="006C6281"/>
    <w:rsid w:val="006D6795"/>
    <w:rsid w:val="007351EA"/>
    <w:rsid w:val="008B65F6"/>
    <w:rsid w:val="008E1099"/>
    <w:rsid w:val="009430CF"/>
    <w:rsid w:val="00954AAE"/>
    <w:rsid w:val="00963573"/>
    <w:rsid w:val="009C0291"/>
    <w:rsid w:val="009F70E6"/>
    <w:rsid w:val="00A2181A"/>
    <w:rsid w:val="00AC2D24"/>
    <w:rsid w:val="00AE02CC"/>
    <w:rsid w:val="00B15FE6"/>
    <w:rsid w:val="00B36AAB"/>
    <w:rsid w:val="00BD6065"/>
    <w:rsid w:val="00C271D0"/>
    <w:rsid w:val="00C36B03"/>
    <w:rsid w:val="00D751E0"/>
    <w:rsid w:val="00E57319"/>
    <w:rsid w:val="00EE0291"/>
    <w:rsid w:val="00EE76B7"/>
    <w:rsid w:val="00FE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291"/>
    <w:rPr>
      <w:rFonts w:eastAsia="Times New Roman" w:cs="Times New Roman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A2181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6">
    <w:name w:val="heading 6"/>
    <w:basedOn w:val="Normal"/>
    <w:next w:val="Pargrafo"/>
    <w:link w:val="Ttulo6Char"/>
    <w:semiHidden/>
    <w:unhideWhenUsed/>
    <w:qFormat/>
    <w:rsid w:val="001250D4"/>
    <w:pPr>
      <w:widowControl w:val="0"/>
      <w:snapToGrid w:val="0"/>
      <w:spacing w:after="480" w:line="360" w:lineRule="auto"/>
      <w:jc w:val="center"/>
      <w:outlineLvl w:val="5"/>
    </w:pPr>
    <w:rPr>
      <w:rFonts w:ascii="Arial" w:hAnsi="Arial"/>
      <w:b/>
      <w:caps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A2181A"/>
    <w:rPr>
      <w:rFonts w:eastAsia="Times New Roman" w:cs="Times New Roman"/>
      <w:b/>
      <w:bCs/>
      <w:sz w:val="27"/>
      <w:szCs w:val="27"/>
      <w:lang w:eastAsia="pt-BR"/>
    </w:rPr>
  </w:style>
  <w:style w:type="paragraph" w:customStyle="1" w:styleId="Pargrafo">
    <w:name w:val="Parágrafo"/>
    <w:basedOn w:val="Normal"/>
    <w:uiPriority w:val="99"/>
    <w:rsid w:val="009C0291"/>
    <w:pPr>
      <w:widowControl w:val="0"/>
      <w:tabs>
        <w:tab w:val="left" w:pos="1701"/>
      </w:tabs>
      <w:spacing w:line="480" w:lineRule="auto"/>
      <w:ind w:firstLine="1701"/>
      <w:jc w:val="both"/>
    </w:pPr>
    <w:rPr>
      <w:rFonts w:ascii="Arial" w:hAnsi="Arial"/>
      <w:noProof/>
      <w:snapToGrid w:val="0"/>
      <w:szCs w:val="20"/>
    </w:rPr>
  </w:style>
  <w:style w:type="character" w:styleId="Hyperlink">
    <w:name w:val="Hyperlink"/>
    <w:basedOn w:val="Fontepargpadro"/>
    <w:uiPriority w:val="99"/>
    <w:unhideWhenUsed/>
    <w:rsid w:val="009C0291"/>
    <w:rPr>
      <w:color w:val="0000FF" w:themeColor="hyperlink"/>
      <w:u w:val="single"/>
    </w:rPr>
  </w:style>
  <w:style w:type="paragraph" w:customStyle="1" w:styleId="Default">
    <w:name w:val="Default"/>
    <w:uiPriority w:val="99"/>
    <w:rsid w:val="009C0291"/>
    <w:pPr>
      <w:autoSpaceDE w:val="0"/>
      <w:autoSpaceDN w:val="0"/>
      <w:adjustRightInd w:val="0"/>
    </w:pPr>
    <w:rPr>
      <w:rFonts w:ascii="ILDOPA+TimesNewRoman,Bold" w:eastAsia="Times New Roman" w:hAnsi="ILDOPA+TimesNewRoman,Bold" w:cs="Times New Roman"/>
      <w:color w:val="000000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C0291"/>
    <w:pPr>
      <w:ind w:left="708"/>
    </w:pPr>
  </w:style>
  <w:style w:type="character" w:customStyle="1" w:styleId="apple-converted-space">
    <w:name w:val="apple-converted-space"/>
    <w:rsid w:val="009C0291"/>
  </w:style>
  <w:style w:type="character" w:customStyle="1" w:styleId="a">
    <w:name w:val="a"/>
    <w:rsid w:val="009C0291"/>
  </w:style>
  <w:style w:type="character" w:customStyle="1" w:styleId="l6">
    <w:name w:val="l6"/>
    <w:rsid w:val="009C0291"/>
  </w:style>
  <w:style w:type="character" w:customStyle="1" w:styleId="l7">
    <w:name w:val="l7"/>
    <w:rsid w:val="009C0291"/>
  </w:style>
  <w:style w:type="character" w:styleId="nfase">
    <w:name w:val="Emphasis"/>
    <w:basedOn w:val="Fontepargpadro"/>
    <w:uiPriority w:val="20"/>
    <w:qFormat/>
    <w:rsid w:val="008E1099"/>
    <w:rPr>
      <w:i/>
      <w:iCs/>
    </w:rPr>
  </w:style>
  <w:style w:type="character" w:customStyle="1" w:styleId="Ttulo6Char">
    <w:name w:val="Título 6 Char"/>
    <w:basedOn w:val="Fontepargpadro"/>
    <w:link w:val="Ttulo6"/>
    <w:semiHidden/>
    <w:rsid w:val="001250D4"/>
    <w:rPr>
      <w:rFonts w:ascii="Arial" w:eastAsia="Times New Roman" w:hAnsi="Arial" w:cs="Times New Roman"/>
      <w:b/>
      <w:caps/>
      <w:noProof/>
      <w:szCs w:val="20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250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250D4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0D4"/>
    <w:pPr>
      <w:spacing w:before="100" w:beforeAutospacing="1" w:after="100" w:afterAutospacing="1"/>
    </w:p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250D4"/>
    <w:rPr>
      <w:rFonts w:eastAsia="Times New Roman" w:cs="Times New Roman"/>
      <w:sz w:val="20"/>
      <w:szCs w:val="20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250D4"/>
    <w:rPr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1250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250D4"/>
    <w:rPr>
      <w:rFonts w:eastAsia="Times New Roman" w:cs="Times New Roman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1250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250D4"/>
    <w:rPr>
      <w:rFonts w:eastAsia="Times New Roman" w:cs="Times New Roman"/>
      <w:szCs w:val="24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250D4"/>
    <w:rPr>
      <w:rFonts w:eastAsia="Times New Roman" w:cs="Times New Roman"/>
      <w:b/>
      <w:bCs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250D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50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50D4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1250D4"/>
    <w:rPr>
      <w:rFonts w:eastAsia="Times New Roman" w:cs="Times New Roman"/>
      <w:szCs w:val="24"/>
      <w:lang w:eastAsia="pt-BR"/>
    </w:rPr>
  </w:style>
  <w:style w:type="character" w:customStyle="1" w:styleId="A11">
    <w:name w:val="A11"/>
    <w:uiPriority w:val="99"/>
    <w:rsid w:val="001250D4"/>
    <w:rPr>
      <w:rFonts w:ascii="Libre Semi Serif SSi" w:hAnsi="Libre Semi Serif SSi" w:cs="Libre Semi Serif SSi" w:hint="default"/>
      <w:color w:val="000000"/>
      <w:sz w:val="11"/>
      <w:szCs w:val="11"/>
    </w:rPr>
  </w:style>
  <w:style w:type="character" w:customStyle="1" w:styleId="A4">
    <w:name w:val="A4"/>
    <w:uiPriority w:val="99"/>
    <w:rsid w:val="001250D4"/>
    <w:rPr>
      <w:rFonts w:ascii="Myriad Pro Light" w:hAnsi="Myriad Pro Light" w:cs="Myriad Pro Light" w:hint="default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291"/>
    <w:rPr>
      <w:rFonts w:eastAsia="Times New Roman" w:cs="Times New Roman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A2181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6">
    <w:name w:val="heading 6"/>
    <w:basedOn w:val="Normal"/>
    <w:next w:val="Pargrafo"/>
    <w:link w:val="Ttulo6Char"/>
    <w:semiHidden/>
    <w:unhideWhenUsed/>
    <w:qFormat/>
    <w:rsid w:val="001250D4"/>
    <w:pPr>
      <w:widowControl w:val="0"/>
      <w:snapToGrid w:val="0"/>
      <w:spacing w:after="480" w:line="360" w:lineRule="auto"/>
      <w:jc w:val="center"/>
      <w:outlineLvl w:val="5"/>
    </w:pPr>
    <w:rPr>
      <w:rFonts w:ascii="Arial" w:hAnsi="Arial"/>
      <w:b/>
      <w:caps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A2181A"/>
    <w:rPr>
      <w:rFonts w:eastAsia="Times New Roman" w:cs="Times New Roman"/>
      <w:b/>
      <w:bCs/>
      <w:sz w:val="27"/>
      <w:szCs w:val="27"/>
      <w:lang w:eastAsia="pt-BR"/>
    </w:rPr>
  </w:style>
  <w:style w:type="paragraph" w:customStyle="1" w:styleId="Pargrafo">
    <w:name w:val="Parágrafo"/>
    <w:basedOn w:val="Normal"/>
    <w:uiPriority w:val="99"/>
    <w:rsid w:val="009C0291"/>
    <w:pPr>
      <w:widowControl w:val="0"/>
      <w:tabs>
        <w:tab w:val="left" w:pos="1701"/>
      </w:tabs>
      <w:spacing w:line="480" w:lineRule="auto"/>
      <w:ind w:firstLine="1701"/>
      <w:jc w:val="both"/>
    </w:pPr>
    <w:rPr>
      <w:rFonts w:ascii="Arial" w:hAnsi="Arial"/>
      <w:noProof/>
      <w:snapToGrid w:val="0"/>
      <w:szCs w:val="20"/>
    </w:rPr>
  </w:style>
  <w:style w:type="character" w:styleId="Hyperlink">
    <w:name w:val="Hyperlink"/>
    <w:basedOn w:val="Fontepargpadro"/>
    <w:uiPriority w:val="99"/>
    <w:unhideWhenUsed/>
    <w:rsid w:val="009C0291"/>
    <w:rPr>
      <w:color w:val="0000FF" w:themeColor="hyperlink"/>
      <w:u w:val="single"/>
    </w:rPr>
  </w:style>
  <w:style w:type="paragraph" w:customStyle="1" w:styleId="Default">
    <w:name w:val="Default"/>
    <w:uiPriority w:val="99"/>
    <w:rsid w:val="009C0291"/>
    <w:pPr>
      <w:autoSpaceDE w:val="0"/>
      <w:autoSpaceDN w:val="0"/>
      <w:adjustRightInd w:val="0"/>
    </w:pPr>
    <w:rPr>
      <w:rFonts w:ascii="ILDOPA+TimesNewRoman,Bold" w:eastAsia="Times New Roman" w:hAnsi="ILDOPA+TimesNewRoman,Bold" w:cs="Times New Roman"/>
      <w:color w:val="000000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C0291"/>
    <w:pPr>
      <w:ind w:left="708"/>
    </w:pPr>
  </w:style>
  <w:style w:type="character" w:customStyle="1" w:styleId="apple-converted-space">
    <w:name w:val="apple-converted-space"/>
    <w:rsid w:val="009C0291"/>
  </w:style>
  <w:style w:type="character" w:customStyle="1" w:styleId="a">
    <w:name w:val="a"/>
    <w:rsid w:val="009C0291"/>
  </w:style>
  <w:style w:type="character" w:customStyle="1" w:styleId="l6">
    <w:name w:val="l6"/>
    <w:rsid w:val="009C0291"/>
  </w:style>
  <w:style w:type="character" w:customStyle="1" w:styleId="l7">
    <w:name w:val="l7"/>
    <w:rsid w:val="009C0291"/>
  </w:style>
  <w:style w:type="character" w:styleId="nfase">
    <w:name w:val="Emphasis"/>
    <w:basedOn w:val="Fontepargpadro"/>
    <w:uiPriority w:val="20"/>
    <w:qFormat/>
    <w:rsid w:val="008E1099"/>
    <w:rPr>
      <w:i/>
      <w:iCs/>
    </w:rPr>
  </w:style>
  <w:style w:type="character" w:customStyle="1" w:styleId="Ttulo6Char">
    <w:name w:val="Título 6 Char"/>
    <w:basedOn w:val="Fontepargpadro"/>
    <w:link w:val="Ttulo6"/>
    <w:semiHidden/>
    <w:rsid w:val="001250D4"/>
    <w:rPr>
      <w:rFonts w:ascii="Arial" w:eastAsia="Times New Roman" w:hAnsi="Arial" w:cs="Times New Roman"/>
      <w:b/>
      <w:caps/>
      <w:noProof/>
      <w:szCs w:val="20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250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250D4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0D4"/>
    <w:pPr>
      <w:spacing w:before="100" w:beforeAutospacing="1" w:after="100" w:afterAutospacing="1"/>
    </w:p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250D4"/>
    <w:rPr>
      <w:rFonts w:eastAsia="Times New Roman" w:cs="Times New Roman"/>
      <w:sz w:val="20"/>
      <w:szCs w:val="20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250D4"/>
    <w:rPr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1250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250D4"/>
    <w:rPr>
      <w:rFonts w:eastAsia="Times New Roman" w:cs="Times New Roman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1250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250D4"/>
    <w:rPr>
      <w:rFonts w:eastAsia="Times New Roman" w:cs="Times New Roman"/>
      <w:szCs w:val="24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250D4"/>
    <w:rPr>
      <w:rFonts w:eastAsia="Times New Roman" w:cs="Times New Roman"/>
      <w:b/>
      <w:bCs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250D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50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50D4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1250D4"/>
    <w:rPr>
      <w:rFonts w:eastAsia="Times New Roman" w:cs="Times New Roman"/>
      <w:szCs w:val="24"/>
      <w:lang w:eastAsia="pt-BR"/>
    </w:rPr>
  </w:style>
  <w:style w:type="character" w:customStyle="1" w:styleId="A11">
    <w:name w:val="A11"/>
    <w:uiPriority w:val="99"/>
    <w:rsid w:val="001250D4"/>
    <w:rPr>
      <w:rFonts w:ascii="Libre Semi Serif SSi" w:hAnsi="Libre Semi Serif SSi" w:cs="Libre Semi Serif SSi" w:hint="default"/>
      <w:color w:val="000000"/>
      <w:sz w:val="11"/>
      <w:szCs w:val="11"/>
    </w:rPr>
  </w:style>
  <w:style w:type="character" w:customStyle="1" w:styleId="A4">
    <w:name w:val="A4"/>
    <w:uiPriority w:val="99"/>
    <w:rsid w:val="001250D4"/>
    <w:rPr>
      <w:rFonts w:ascii="Myriad Pro Light" w:hAnsi="Myriad Pro Light" w:cs="Myriad Pro Light" w:hint="default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7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sb.edu.br/revistaindex.php/conquer/article/viewFile/84/61" TargetMode="External"/><Relationship Id="rId3" Type="http://schemas.openxmlformats.org/officeDocument/2006/relationships/styles" Target="styles.xml"/><Relationship Id="rId7" Type="http://schemas.openxmlformats.org/officeDocument/2006/relationships/hyperlink" Target="http://medsvl.einstein.br/diretrizes/tratamento_dor/Gerenciamento%20da%20dor%20na%20SBIBHAE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1F2B5-07C9-4B27-B98D-6B7819C44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6368</Words>
  <Characters>34389</Characters>
  <Application>Microsoft Office Word</Application>
  <DocSecurity>0</DocSecurity>
  <Lines>286</Lines>
  <Paragraphs>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18</cp:revision>
  <dcterms:created xsi:type="dcterms:W3CDTF">2016-09-16T13:38:00Z</dcterms:created>
  <dcterms:modified xsi:type="dcterms:W3CDTF">2016-09-28T12:03:00Z</dcterms:modified>
</cp:coreProperties>
</file>