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2C9" w:rsidRPr="00C52027" w:rsidRDefault="00FA52C9" w:rsidP="00273802">
      <w:pPr>
        <w:spacing w:after="240" w:line="240" w:lineRule="auto"/>
        <w:jc w:val="both"/>
        <w:rPr>
          <w:rFonts w:ascii="Times New Roman" w:hAnsi="Times New Roman" w:cs="Times New Roman"/>
          <w:sz w:val="24"/>
          <w:szCs w:val="24"/>
        </w:rPr>
      </w:pPr>
      <w:bookmarkStart w:id="0" w:name="_GoBack"/>
      <w:bookmarkEnd w:id="0"/>
    </w:p>
    <w:p w:rsidR="00C52027" w:rsidRPr="00C52027" w:rsidRDefault="00C52027" w:rsidP="00273802">
      <w:pPr>
        <w:spacing w:after="240" w:line="240" w:lineRule="auto"/>
        <w:jc w:val="both"/>
        <w:rPr>
          <w:rFonts w:ascii="Times New Roman" w:eastAsia="Times New Roman" w:hAnsi="Times New Roman" w:cs="Times New Roman"/>
          <w:color w:val="000000"/>
          <w:sz w:val="24"/>
          <w:szCs w:val="24"/>
          <w:lang w:eastAsia="pt-BR"/>
        </w:rPr>
      </w:pPr>
      <w:r w:rsidRPr="00C52027">
        <w:rPr>
          <w:rFonts w:ascii="Times New Roman" w:eastAsia="Times New Roman" w:hAnsi="Times New Roman" w:cs="Times New Roman"/>
          <w:b/>
          <w:bCs/>
          <w:color w:val="000000"/>
          <w:sz w:val="24"/>
          <w:szCs w:val="24"/>
          <w:u w:val="single"/>
          <w:lang w:eastAsia="pt-BR"/>
        </w:rPr>
        <w:t>Sugestões para publicação</w:t>
      </w:r>
    </w:p>
    <w:p w:rsidR="00C52027" w:rsidRPr="00C52027" w:rsidRDefault="00C52027" w:rsidP="00273802">
      <w:pPr>
        <w:spacing w:after="240" w:line="240" w:lineRule="auto"/>
        <w:jc w:val="both"/>
        <w:rPr>
          <w:rFonts w:ascii="Times New Roman" w:eastAsia="Times New Roman" w:hAnsi="Times New Roman" w:cs="Times New Roman"/>
          <w:color w:val="000000"/>
          <w:sz w:val="24"/>
          <w:szCs w:val="24"/>
          <w:lang w:eastAsia="pt-BR"/>
        </w:rPr>
      </w:pPr>
      <w:r w:rsidRPr="00C52027">
        <w:rPr>
          <w:rFonts w:ascii="Times New Roman" w:eastAsia="Times New Roman" w:hAnsi="Times New Roman" w:cs="Times New Roman"/>
          <w:color w:val="000000"/>
          <w:sz w:val="24"/>
          <w:szCs w:val="24"/>
          <w:lang w:eastAsia="pt-BR"/>
        </w:rPr>
        <w:t> </w:t>
      </w:r>
    </w:p>
    <w:p w:rsidR="00C52027" w:rsidRDefault="00C52027" w:rsidP="00273802">
      <w:pPr>
        <w:spacing w:after="240" w:line="240" w:lineRule="auto"/>
        <w:jc w:val="both"/>
        <w:rPr>
          <w:rFonts w:ascii="Times New Roman" w:eastAsia="Times New Roman" w:hAnsi="Times New Roman" w:cs="Times New Roman"/>
          <w:color w:val="000000"/>
          <w:sz w:val="24"/>
          <w:szCs w:val="24"/>
          <w:lang w:eastAsia="pt-BR"/>
        </w:rPr>
      </w:pPr>
      <w:r w:rsidRPr="00C52027">
        <w:rPr>
          <w:rFonts w:ascii="Times New Roman" w:eastAsia="Times New Roman" w:hAnsi="Times New Roman" w:cs="Times New Roman"/>
          <w:color w:val="000000"/>
          <w:sz w:val="24"/>
          <w:szCs w:val="24"/>
          <w:lang w:eastAsia="pt-BR"/>
        </w:rPr>
        <w:t>O autor traz uma adequada estruturação e discussão em seu artigo, baseada na análise do crédito imobiliário ao longo de uma década. Ao trazer a tabulação de dados empíricos das carteiras dos maiores bancos do Brasil, o texto apresenta importantes subsídios para a interpretação da dinâmica recente do crédito imobiliário do país. Não obstante, pequenas recomendações são feitas com o objetivo de melhorar o texto para publicação.</w:t>
      </w:r>
    </w:p>
    <w:p w:rsidR="00C52027" w:rsidRDefault="00C52027" w:rsidP="00273802">
      <w:pPr>
        <w:spacing w:after="240" w:line="240" w:lineRule="auto"/>
        <w:jc w:val="both"/>
        <w:rPr>
          <w:rFonts w:ascii="Times New Roman" w:eastAsia="Times New Roman" w:hAnsi="Times New Roman" w:cs="Times New Roman"/>
          <w:color w:val="000000"/>
          <w:sz w:val="24"/>
          <w:szCs w:val="24"/>
          <w:lang w:eastAsia="pt-BR"/>
        </w:rPr>
      </w:pPr>
      <w:r w:rsidRPr="00C52027">
        <w:rPr>
          <w:rFonts w:ascii="Times New Roman" w:eastAsia="Times New Roman" w:hAnsi="Times New Roman" w:cs="Times New Roman"/>
          <w:color w:val="000000"/>
          <w:sz w:val="24"/>
          <w:szCs w:val="24"/>
          <w:lang w:eastAsia="pt-BR"/>
        </w:rPr>
        <w:t>No resumo, sugere-se ao autor uma melhor redação para o parágrafo seguinte, a fim de melhor compreensão da discussão: “A partir de uma pesquisa descritiva e empírico-analítica analisou-se a carteira de crédito imobiliário das principais Instituições Financeiras por carteira de crédito do [...]”</w:t>
      </w:r>
    </w:p>
    <w:tbl>
      <w:tblPr>
        <w:tblStyle w:val="Tabelacomgrade"/>
        <w:tblW w:w="0" w:type="auto"/>
        <w:tblLook w:val="04A0" w:firstRow="1" w:lastRow="0" w:firstColumn="1" w:lastColumn="0" w:noHBand="0" w:noVBand="1"/>
      </w:tblPr>
      <w:tblGrid>
        <w:gridCol w:w="9468"/>
      </w:tblGrid>
      <w:tr w:rsidR="00755B9B" w:rsidTr="00273802">
        <w:tc>
          <w:tcPr>
            <w:tcW w:w="9468" w:type="dxa"/>
            <w:shd w:val="clear" w:color="auto" w:fill="FFFF00"/>
          </w:tcPr>
          <w:p w:rsidR="00755B9B" w:rsidRDefault="00367CB6" w:rsidP="00367CB6">
            <w:pPr>
              <w:spacing w:before="240" w:after="240"/>
              <w:jc w:val="both"/>
              <w:rPr>
                <w:rFonts w:ascii="Times New Roman" w:eastAsia="Times New Roman" w:hAnsi="Times New Roman" w:cs="Times New Roman"/>
                <w:color w:val="FF0000"/>
                <w:sz w:val="24"/>
                <w:szCs w:val="24"/>
                <w:lang w:eastAsia="pt-BR"/>
              </w:rPr>
            </w:pPr>
            <w:r w:rsidRPr="00367CB6">
              <w:rPr>
                <w:rFonts w:ascii="Times New Roman" w:eastAsia="Times New Roman" w:hAnsi="Times New Roman" w:cs="Times New Roman"/>
                <w:color w:val="FF0000"/>
                <w:sz w:val="24"/>
                <w:szCs w:val="24"/>
                <w:lang w:eastAsia="pt-BR"/>
              </w:rPr>
              <w:t>OK. Sentença foi reescrita, inclusive com a “quebra” em duas frases distintas, no sentido de facilitar a compreensão.</w:t>
            </w:r>
          </w:p>
          <w:p w:rsidR="00755B9B" w:rsidRPr="00367CB6" w:rsidRDefault="00367CB6" w:rsidP="00273802">
            <w:pPr>
              <w:spacing w:after="240"/>
              <w:jc w:val="both"/>
              <w:rPr>
                <w:rFonts w:ascii="Times New Roman" w:eastAsia="Times New Roman" w:hAnsi="Times New Roman" w:cs="Times New Roman"/>
                <w:color w:val="FF0000"/>
                <w:sz w:val="24"/>
                <w:szCs w:val="24"/>
                <w:lang w:eastAsia="pt-BR"/>
              </w:rPr>
            </w:pPr>
            <w:r>
              <w:rPr>
                <w:rFonts w:ascii="Times New Roman" w:eastAsia="Times New Roman" w:hAnsi="Times New Roman" w:cs="Times New Roman"/>
                <w:color w:val="FF0000"/>
                <w:sz w:val="24"/>
                <w:szCs w:val="24"/>
                <w:lang w:eastAsia="pt-BR"/>
              </w:rPr>
              <w:t>Por consequência, também foi revisado o “abstract”.</w:t>
            </w:r>
          </w:p>
        </w:tc>
      </w:tr>
    </w:tbl>
    <w:p w:rsidR="00755B9B" w:rsidRDefault="00755B9B" w:rsidP="00273802">
      <w:pPr>
        <w:spacing w:after="240" w:line="240" w:lineRule="auto"/>
        <w:jc w:val="both"/>
        <w:rPr>
          <w:rFonts w:ascii="Times New Roman" w:eastAsia="Times New Roman" w:hAnsi="Times New Roman" w:cs="Times New Roman"/>
          <w:color w:val="000000"/>
          <w:sz w:val="24"/>
          <w:szCs w:val="24"/>
          <w:lang w:eastAsia="pt-BR"/>
        </w:rPr>
      </w:pPr>
    </w:p>
    <w:p w:rsidR="00C52027" w:rsidRDefault="00C52027" w:rsidP="00273802">
      <w:pPr>
        <w:spacing w:after="240" w:line="240" w:lineRule="auto"/>
        <w:jc w:val="both"/>
        <w:rPr>
          <w:rFonts w:ascii="Times New Roman" w:eastAsia="Times New Roman" w:hAnsi="Times New Roman" w:cs="Times New Roman"/>
          <w:color w:val="000000"/>
          <w:sz w:val="24"/>
          <w:szCs w:val="24"/>
          <w:lang w:eastAsia="pt-BR"/>
        </w:rPr>
      </w:pPr>
      <w:r w:rsidRPr="00C52027">
        <w:rPr>
          <w:rFonts w:ascii="Times New Roman" w:eastAsia="Times New Roman" w:hAnsi="Times New Roman" w:cs="Times New Roman"/>
          <w:color w:val="000000"/>
          <w:sz w:val="24"/>
          <w:szCs w:val="24"/>
          <w:lang w:eastAsia="pt-BR"/>
        </w:rPr>
        <w:t>No título em inglês do artigo o termo correto em latim para carteiras é portafolio e não portfolios. Ademais faz-se necessária uma revisão no abstract como um todo, haja vista a redação, em alguns momentos, não adequada aos padrões formais da lingua inglesa.</w:t>
      </w:r>
    </w:p>
    <w:tbl>
      <w:tblPr>
        <w:tblStyle w:val="Tabelacomgrade"/>
        <w:tblW w:w="0" w:type="auto"/>
        <w:tblLook w:val="04A0" w:firstRow="1" w:lastRow="0" w:firstColumn="1" w:lastColumn="0" w:noHBand="0" w:noVBand="1"/>
      </w:tblPr>
      <w:tblGrid>
        <w:gridCol w:w="9468"/>
      </w:tblGrid>
      <w:tr w:rsidR="00755B9B" w:rsidTr="00273802">
        <w:tc>
          <w:tcPr>
            <w:tcW w:w="9468" w:type="dxa"/>
            <w:shd w:val="clear" w:color="auto" w:fill="FFFF00"/>
          </w:tcPr>
          <w:p w:rsidR="00A5712A" w:rsidRPr="002F20C2" w:rsidRDefault="00A5712A" w:rsidP="00A5712A">
            <w:pPr>
              <w:spacing w:before="240" w:after="240"/>
              <w:jc w:val="both"/>
              <w:rPr>
                <w:rFonts w:ascii="Times New Roman" w:eastAsia="Times New Roman" w:hAnsi="Times New Roman" w:cs="Times New Roman"/>
                <w:color w:val="FF0000"/>
                <w:sz w:val="24"/>
                <w:szCs w:val="24"/>
                <w:lang w:eastAsia="pt-BR"/>
              </w:rPr>
            </w:pPr>
            <w:r w:rsidRPr="002F20C2">
              <w:rPr>
                <w:rFonts w:ascii="Times New Roman" w:eastAsia="Times New Roman" w:hAnsi="Times New Roman" w:cs="Times New Roman"/>
                <w:color w:val="FF0000"/>
                <w:sz w:val="24"/>
                <w:szCs w:val="24"/>
                <w:lang w:eastAsia="pt-BR"/>
              </w:rPr>
              <w:t>Não obstante a pertinência da afirmação do examinador quanto ao termo em latim para carteiras ser “portafolio”, argumentamos pela permanência do termo “portfolios”, por ser um termo muito comumente usado no mercado financeiro, quando se expressa na língua inglesa.</w:t>
            </w:r>
          </w:p>
          <w:p w:rsidR="00A83944" w:rsidRPr="002F20C2" w:rsidRDefault="002F20C2" w:rsidP="002F20C2">
            <w:pPr>
              <w:spacing w:before="240" w:after="240"/>
              <w:jc w:val="both"/>
              <w:rPr>
                <w:rFonts w:ascii="Times New Roman" w:eastAsia="Times New Roman" w:hAnsi="Times New Roman" w:cs="Times New Roman"/>
                <w:color w:val="FF0000"/>
                <w:sz w:val="24"/>
                <w:szCs w:val="24"/>
                <w:lang w:eastAsia="pt-BR"/>
              </w:rPr>
            </w:pPr>
            <w:r w:rsidRPr="002F20C2">
              <w:rPr>
                <w:rFonts w:ascii="Times New Roman" w:eastAsia="Times New Roman" w:hAnsi="Times New Roman" w:cs="Times New Roman"/>
                <w:color w:val="FF0000"/>
                <w:sz w:val="24"/>
                <w:szCs w:val="24"/>
                <w:lang w:eastAsia="pt-BR"/>
              </w:rPr>
              <w:t>Conforme recomendado, foi providenciada a revisão do abstract.</w:t>
            </w:r>
          </w:p>
        </w:tc>
      </w:tr>
    </w:tbl>
    <w:p w:rsidR="00755B9B" w:rsidRDefault="00755B9B" w:rsidP="00273802">
      <w:pPr>
        <w:spacing w:after="240" w:line="240" w:lineRule="auto"/>
        <w:jc w:val="both"/>
        <w:rPr>
          <w:rFonts w:ascii="Times New Roman" w:eastAsia="Times New Roman" w:hAnsi="Times New Roman" w:cs="Times New Roman"/>
          <w:color w:val="000000"/>
          <w:sz w:val="24"/>
          <w:szCs w:val="24"/>
          <w:lang w:eastAsia="pt-BR"/>
        </w:rPr>
      </w:pPr>
    </w:p>
    <w:p w:rsidR="00C52027" w:rsidRDefault="00C52027" w:rsidP="00273802">
      <w:pPr>
        <w:spacing w:after="240" w:line="240" w:lineRule="auto"/>
        <w:jc w:val="both"/>
        <w:rPr>
          <w:rFonts w:ascii="Times New Roman" w:eastAsia="Times New Roman" w:hAnsi="Times New Roman" w:cs="Times New Roman"/>
          <w:color w:val="000000"/>
          <w:sz w:val="24"/>
          <w:szCs w:val="24"/>
          <w:lang w:eastAsia="pt-BR"/>
        </w:rPr>
      </w:pPr>
      <w:r w:rsidRPr="00C52027">
        <w:rPr>
          <w:rFonts w:ascii="Times New Roman" w:eastAsia="Times New Roman" w:hAnsi="Times New Roman" w:cs="Times New Roman"/>
          <w:color w:val="000000"/>
          <w:sz w:val="24"/>
          <w:szCs w:val="24"/>
          <w:lang w:eastAsia="pt-BR"/>
        </w:rPr>
        <w:t>Os parágrafos iniciais e finais de cada seção foram, normalmente, escritos por meio de referências bibliográficas. Sugere-se ao autor que introduza um parágrafo inicial e um conclusivo de autoria própria, a fim de que a discussão do autor traga o subsídio de outros autores e não o contrário. Este comentário acontece, pois há o uso sistemático de citações, de maneira que em algumas seções todos os parágrafos fazem referência a outros trabalhos.</w:t>
      </w:r>
    </w:p>
    <w:tbl>
      <w:tblPr>
        <w:tblStyle w:val="Tabelacomgrade"/>
        <w:tblW w:w="0" w:type="auto"/>
        <w:tblLook w:val="04A0" w:firstRow="1" w:lastRow="0" w:firstColumn="1" w:lastColumn="0" w:noHBand="0" w:noVBand="1"/>
      </w:tblPr>
      <w:tblGrid>
        <w:gridCol w:w="9468"/>
      </w:tblGrid>
      <w:tr w:rsidR="00755B9B" w:rsidTr="00273802">
        <w:tc>
          <w:tcPr>
            <w:tcW w:w="9468" w:type="dxa"/>
            <w:shd w:val="clear" w:color="auto" w:fill="FFFF00"/>
          </w:tcPr>
          <w:p w:rsidR="00755B9B" w:rsidRPr="009C69AE" w:rsidRDefault="009C69AE" w:rsidP="009C69AE">
            <w:pPr>
              <w:spacing w:before="240" w:after="240"/>
              <w:jc w:val="both"/>
              <w:rPr>
                <w:rFonts w:ascii="Times New Roman" w:eastAsia="Times New Roman" w:hAnsi="Times New Roman" w:cs="Times New Roman"/>
                <w:color w:val="FF0000"/>
                <w:sz w:val="24"/>
                <w:szCs w:val="24"/>
                <w:lang w:eastAsia="pt-BR"/>
              </w:rPr>
            </w:pPr>
            <w:r w:rsidRPr="009C69AE">
              <w:rPr>
                <w:rFonts w:ascii="Times New Roman" w:eastAsia="Times New Roman" w:hAnsi="Times New Roman" w:cs="Times New Roman"/>
                <w:color w:val="FF0000"/>
                <w:sz w:val="24"/>
                <w:szCs w:val="24"/>
                <w:lang w:eastAsia="pt-BR"/>
              </w:rPr>
              <w:t>OK. O problema apontado pelo examinador se concentra especificamente nos capítulos 1 e 2, em especial no que trata do referencial teórico. Foram revisadas todas as seções desses capítulos, de forma a atender à recomendação do avaliador.</w:t>
            </w:r>
          </w:p>
        </w:tc>
      </w:tr>
    </w:tbl>
    <w:p w:rsidR="00755B9B" w:rsidRDefault="00755B9B" w:rsidP="00273802">
      <w:pPr>
        <w:spacing w:after="240" w:line="240" w:lineRule="auto"/>
        <w:jc w:val="both"/>
        <w:rPr>
          <w:rFonts w:ascii="Times New Roman" w:eastAsia="Times New Roman" w:hAnsi="Times New Roman" w:cs="Times New Roman"/>
          <w:color w:val="000000"/>
          <w:sz w:val="24"/>
          <w:szCs w:val="24"/>
          <w:lang w:eastAsia="pt-BR"/>
        </w:rPr>
      </w:pPr>
    </w:p>
    <w:p w:rsidR="00C52027" w:rsidRDefault="00C52027" w:rsidP="00273802">
      <w:pPr>
        <w:spacing w:after="240" w:line="240" w:lineRule="auto"/>
        <w:jc w:val="both"/>
        <w:rPr>
          <w:rFonts w:ascii="Times New Roman" w:eastAsia="Times New Roman" w:hAnsi="Times New Roman" w:cs="Times New Roman"/>
          <w:color w:val="000000"/>
          <w:sz w:val="24"/>
          <w:szCs w:val="24"/>
          <w:lang w:eastAsia="pt-BR"/>
        </w:rPr>
      </w:pPr>
      <w:r w:rsidRPr="00C52027">
        <w:rPr>
          <w:rFonts w:ascii="Times New Roman" w:eastAsia="Times New Roman" w:hAnsi="Times New Roman" w:cs="Times New Roman"/>
          <w:color w:val="000000"/>
          <w:sz w:val="24"/>
          <w:szCs w:val="24"/>
          <w:lang w:eastAsia="pt-BR"/>
        </w:rPr>
        <w:t xml:space="preserve">Em função da relevância da carteira de crédito imobiliário da Caixa Econômica Federal, quando comparada a outros bancos, faz-se necessário no texto uma maior exploração analítica desta </w:t>
      </w:r>
      <w:r w:rsidRPr="00C52027">
        <w:rPr>
          <w:rFonts w:ascii="Times New Roman" w:eastAsia="Times New Roman" w:hAnsi="Times New Roman" w:cs="Times New Roman"/>
          <w:color w:val="000000"/>
          <w:sz w:val="24"/>
          <w:szCs w:val="24"/>
          <w:lang w:eastAsia="pt-BR"/>
        </w:rPr>
        <w:lastRenderedPageBreak/>
        <w:t>instituição e da Política Habitacional do Governo Federal instrumentalizada no programa “Minha Casa, Minha Vida”, a fim de se evitar uma análise mecanicista, baseada apenas nos dados comparativos, ao permitir uma discussão mais sistemática sobre as forças profundas de influência no crédito imobiliário brasileiro lato sensu.</w:t>
      </w:r>
    </w:p>
    <w:tbl>
      <w:tblPr>
        <w:tblStyle w:val="Tabelacomgrade"/>
        <w:tblW w:w="0" w:type="auto"/>
        <w:tblLook w:val="04A0" w:firstRow="1" w:lastRow="0" w:firstColumn="1" w:lastColumn="0" w:noHBand="0" w:noVBand="1"/>
      </w:tblPr>
      <w:tblGrid>
        <w:gridCol w:w="9468"/>
      </w:tblGrid>
      <w:tr w:rsidR="00755B9B" w:rsidTr="00273802">
        <w:tc>
          <w:tcPr>
            <w:tcW w:w="9468" w:type="dxa"/>
            <w:shd w:val="clear" w:color="auto" w:fill="FFFF00"/>
          </w:tcPr>
          <w:p w:rsidR="00755B9B" w:rsidRPr="00A5712A" w:rsidRDefault="00CF6161" w:rsidP="00CF6161">
            <w:pPr>
              <w:spacing w:before="240" w:after="240"/>
              <w:jc w:val="both"/>
              <w:rPr>
                <w:rFonts w:ascii="Times New Roman" w:eastAsia="Times New Roman" w:hAnsi="Times New Roman" w:cs="Times New Roman"/>
                <w:color w:val="FF0000"/>
                <w:sz w:val="24"/>
                <w:szCs w:val="24"/>
                <w:lang w:eastAsia="pt-BR"/>
              </w:rPr>
            </w:pPr>
            <w:r w:rsidRPr="00A5712A">
              <w:rPr>
                <w:rFonts w:ascii="Times New Roman" w:eastAsia="Times New Roman" w:hAnsi="Times New Roman" w:cs="Times New Roman"/>
                <w:color w:val="FF0000"/>
                <w:sz w:val="24"/>
                <w:szCs w:val="24"/>
                <w:lang w:eastAsia="pt-BR"/>
              </w:rPr>
              <w:t>OK. Reforçados os argumentos relacionados ao papel da Caixa Econômica Federal como principal executora de programas habitacionais do Governo Federal, em especial o Minha Casa Minha Vida.</w:t>
            </w:r>
            <w:r w:rsidR="00A5712A" w:rsidRPr="00A5712A">
              <w:rPr>
                <w:rFonts w:ascii="Times New Roman" w:eastAsia="Times New Roman" w:hAnsi="Times New Roman" w:cs="Times New Roman"/>
                <w:color w:val="FF0000"/>
                <w:sz w:val="24"/>
                <w:szCs w:val="24"/>
                <w:lang w:eastAsia="pt-BR"/>
              </w:rPr>
              <w:t xml:space="preserve"> Embora esse papel já tivesse sido destacado originalmente, entendemos como pertinente o argumento do examinador de que esse aspecto deveria ser reforçado. Esse reforço foi providenciado especificamente na Seção 4.1.</w:t>
            </w:r>
          </w:p>
        </w:tc>
      </w:tr>
    </w:tbl>
    <w:p w:rsidR="00C52027" w:rsidRPr="00C52027" w:rsidRDefault="00C52027" w:rsidP="00273802">
      <w:pPr>
        <w:spacing w:after="240" w:line="240" w:lineRule="auto"/>
        <w:jc w:val="both"/>
        <w:rPr>
          <w:rFonts w:ascii="Times New Roman" w:hAnsi="Times New Roman" w:cs="Times New Roman"/>
          <w:sz w:val="24"/>
          <w:szCs w:val="24"/>
        </w:rPr>
      </w:pPr>
    </w:p>
    <w:sectPr w:rsidR="00C52027" w:rsidRPr="00C52027" w:rsidSect="00273802">
      <w:pgSz w:w="11906" w:h="16838"/>
      <w:pgMar w:top="1411" w:right="1138" w:bottom="1138"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027"/>
    <w:rsid w:val="000B501B"/>
    <w:rsid w:val="00154476"/>
    <w:rsid w:val="00273802"/>
    <w:rsid w:val="002F20C2"/>
    <w:rsid w:val="00367CB6"/>
    <w:rsid w:val="003D7E9D"/>
    <w:rsid w:val="005E5A94"/>
    <w:rsid w:val="00755B9B"/>
    <w:rsid w:val="009C69AE"/>
    <w:rsid w:val="00A5712A"/>
    <w:rsid w:val="00A83944"/>
    <w:rsid w:val="00C52027"/>
    <w:rsid w:val="00C87A37"/>
    <w:rsid w:val="00CF6161"/>
    <w:rsid w:val="00D978ED"/>
    <w:rsid w:val="00EF5397"/>
    <w:rsid w:val="00FA52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C52027"/>
    <w:rPr>
      <w:b/>
      <w:bCs/>
    </w:rPr>
  </w:style>
  <w:style w:type="table" w:styleId="Tabelacomgrade">
    <w:name w:val="Table Grid"/>
    <w:basedOn w:val="Tabelanormal"/>
    <w:uiPriority w:val="59"/>
    <w:rsid w:val="00755B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738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38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C52027"/>
    <w:rPr>
      <w:b/>
      <w:bCs/>
    </w:rPr>
  </w:style>
  <w:style w:type="table" w:styleId="Tabelacomgrade">
    <w:name w:val="Table Grid"/>
    <w:basedOn w:val="Tabelanormal"/>
    <w:uiPriority w:val="59"/>
    <w:rsid w:val="00755B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738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38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706186">
      <w:bodyDiv w:val="1"/>
      <w:marLeft w:val="0"/>
      <w:marRight w:val="0"/>
      <w:marTop w:val="0"/>
      <w:marBottom w:val="0"/>
      <w:divBdr>
        <w:top w:val="none" w:sz="0" w:space="0" w:color="auto"/>
        <w:left w:val="none" w:sz="0" w:space="0" w:color="auto"/>
        <w:bottom w:val="none" w:sz="0" w:space="0" w:color="auto"/>
        <w:right w:val="none" w:sz="0" w:space="0" w:color="auto"/>
      </w:divBdr>
      <w:divsChild>
        <w:div w:id="1973632566">
          <w:marLeft w:val="0"/>
          <w:marRight w:val="0"/>
          <w:marTop w:val="0"/>
          <w:marBottom w:val="0"/>
          <w:divBdr>
            <w:top w:val="none" w:sz="0" w:space="0" w:color="auto"/>
            <w:left w:val="none" w:sz="0" w:space="0" w:color="auto"/>
            <w:bottom w:val="none" w:sz="0" w:space="0" w:color="auto"/>
            <w:right w:val="none" w:sz="0" w:space="0" w:color="auto"/>
          </w:divBdr>
        </w:div>
        <w:div w:id="937057888">
          <w:marLeft w:val="0"/>
          <w:marRight w:val="0"/>
          <w:marTop w:val="0"/>
          <w:marBottom w:val="0"/>
          <w:divBdr>
            <w:top w:val="none" w:sz="0" w:space="0" w:color="auto"/>
            <w:left w:val="none" w:sz="0" w:space="0" w:color="auto"/>
            <w:bottom w:val="none" w:sz="0" w:space="0" w:color="auto"/>
            <w:right w:val="none" w:sz="0" w:space="0" w:color="auto"/>
          </w:divBdr>
        </w:div>
        <w:div w:id="464586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2632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Alves</dc:creator>
  <cp:lastModifiedBy>Samsung</cp:lastModifiedBy>
  <cp:revision>2</cp:revision>
  <dcterms:created xsi:type="dcterms:W3CDTF">2013-03-09T20:52:00Z</dcterms:created>
  <dcterms:modified xsi:type="dcterms:W3CDTF">2013-03-09T20:52:00Z</dcterms:modified>
</cp:coreProperties>
</file>