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3E3" w:rsidRPr="00FE7981" w:rsidRDefault="00D173E3" w:rsidP="00FE7981">
      <w:pPr>
        <w:jc w:val="center"/>
        <w:rPr>
          <w:rFonts w:ascii="Times New Roman" w:hAnsi="Times New Roman"/>
          <w:b/>
          <w:sz w:val="28"/>
        </w:rPr>
      </w:pPr>
      <w:bookmarkStart w:id="0" w:name="_GoBack"/>
      <w:bookmarkEnd w:id="0"/>
      <w:r w:rsidRPr="00FE7981">
        <w:rPr>
          <w:rFonts w:ascii="Times New Roman" w:hAnsi="Times New Roman"/>
          <w:b/>
          <w:sz w:val="28"/>
        </w:rPr>
        <w:t>Camaradas, agora é oficial: acabou o socialismo</w:t>
      </w:r>
    </w:p>
    <w:p w:rsidR="00D173E3" w:rsidRPr="00FE7981" w:rsidRDefault="00D173E3" w:rsidP="004F72ED">
      <w:pPr>
        <w:rPr>
          <w:rFonts w:ascii="Times New Roman" w:hAnsi="Times New Roman"/>
        </w:rPr>
      </w:pPr>
    </w:p>
    <w:p w:rsidR="00D173E3" w:rsidRPr="00FE7981" w:rsidRDefault="00D173E3" w:rsidP="00FE7981">
      <w:pPr>
        <w:pStyle w:val="NormalWeb"/>
        <w:spacing w:before="0" w:beforeAutospacing="0" w:after="0" w:afterAutospacing="0"/>
        <w:jc w:val="right"/>
        <w:rPr>
          <w:rFonts w:eastAsia="Times"/>
          <w:lang w:val="pt-BR"/>
        </w:rPr>
      </w:pPr>
      <w:r w:rsidRPr="00FE7981">
        <w:rPr>
          <w:rFonts w:eastAsia="Times"/>
          <w:lang w:val="pt-BR"/>
        </w:rPr>
        <w:t>Paulo Roberto de Almeida</w:t>
      </w:r>
    </w:p>
    <w:p w:rsidR="00D173E3" w:rsidRPr="00FE7981" w:rsidRDefault="00D173E3" w:rsidP="00FE7981">
      <w:pPr>
        <w:pStyle w:val="NormalWeb"/>
        <w:spacing w:before="0" w:beforeAutospacing="0" w:after="0" w:afterAutospacing="0"/>
        <w:jc w:val="right"/>
        <w:rPr>
          <w:rFonts w:eastAsia="Times"/>
          <w:lang w:val="pt-BR"/>
        </w:rPr>
      </w:pPr>
      <w:r w:rsidRPr="00FE7981">
        <w:rPr>
          <w:rFonts w:eastAsia="Times"/>
          <w:lang w:val="pt-BR"/>
        </w:rPr>
        <w:t>Marxista não-religioso, autor de</w:t>
      </w:r>
    </w:p>
    <w:p w:rsidR="00D173E3" w:rsidRPr="00FE7981" w:rsidRDefault="00D173E3" w:rsidP="00FE7981">
      <w:pPr>
        <w:pStyle w:val="NormalWeb"/>
        <w:spacing w:before="0" w:beforeAutospacing="0" w:after="0" w:afterAutospacing="0"/>
        <w:jc w:val="right"/>
        <w:rPr>
          <w:rFonts w:eastAsia="Times"/>
          <w:i/>
          <w:lang w:val="pt-BR"/>
        </w:rPr>
      </w:pPr>
      <w:r w:rsidRPr="00FE7981">
        <w:rPr>
          <w:rFonts w:eastAsia="Times"/>
          <w:i/>
          <w:lang w:val="pt-BR"/>
        </w:rPr>
        <w:t>Velhos e novos Manifestos: o socialismo na era da globalização</w:t>
      </w:r>
    </w:p>
    <w:p w:rsidR="00D173E3" w:rsidRPr="00FE7981" w:rsidRDefault="00D173E3" w:rsidP="00FE7981">
      <w:pPr>
        <w:pStyle w:val="NormalWeb"/>
        <w:spacing w:before="0" w:beforeAutospacing="0" w:after="0" w:afterAutospacing="0"/>
        <w:jc w:val="right"/>
        <w:rPr>
          <w:rFonts w:eastAsia="Times"/>
          <w:lang w:val="pt-BR"/>
        </w:rPr>
      </w:pPr>
      <w:r w:rsidRPr="00FE7981">
        <w:rPr>
          <w:rFonts w:eastAsia="Times"/>
          <w:lang w:val="pt-BR"/>
        </w:rPr>
        <w:t>(São Paulo: Editoria Juarez Oliveira, 1999).</w:t>
      </w:r>
    </w:p>
    <w:p w:rsidR="00D173E3" w:rsidRPr="00FE7981" w:rsidRDefault="00D173E3" w:rsidP="00FE7981">
      <w:pPr>
        <w:jc w:val="right"/>
        <w:rPr>
          <w:rFonts w:ascii="Times New Roman" w:hAnsi="Times New Roman"/>
        </w:rPr>
      </w:pPr>
      <w:hyperlink r:id="rId7" w:history="1">
        <w:r w:rsidRPr="00FE7981">
          <w:rPr>
            <w:rStyle w:val="Hyperlink"/>
            <w:rFonts w:ascii="Times New Roman" w:hAnsi="Times New Roman"/>
          </w:rPr>
          <w:t>pralmeida@mac.com</w:t>
        </w:r>
      </w:hyperlink>
      <w:r w:rsidRPr="00FE7981">
        <w:rPr>
          <w:rFonts w:ascii="Times New Roman" w:hAnsi="Times New Roman"/>
        </w:rPr>
        <w:t xml:space="preserve">  </w:t>
      </w:r>
      <w:hyperlink r:id="rId8" w:history="1">
        <w:r w:rsidRPr="00FE7981">
          <w:rPr>
            <w:rStyle w:val="Hyperlink"/>
            <w:rFonts w:ascii="Times New Roman" w:hAnsi="Times New Roman"/>
          </w:rPr>
          <w:t>www.pralmeida.org</w:t>
        </w:r>
      </w:hyperlink>
    </w:p>
    <w:p w:rsidR="00D173E3" w:rsidRPr="00FE7981" w:rsidRDefault="00D173E3" w:rsidP="004F72ED">
      <w:pPr>
        <w:rPr>
          <w:rFonts w:ascii="Times New Roman" w:hAnsi="Times New Roman"/>
        </w:rPr>
      </w:pPr>
    </w:p>
    <w:p w:rsidR="00D173E3" w:rsidRPr="00FE7981" w:rsidRDefault="00D173E3" w:rsidP="004F72ED">
      <w:pPr>
        <w:rPr>
          <w:rFonts w:ascii="Times New Roman" w:hAnsi="Times New Roman"/>
        </w:rPr>
      </w:pPr>
    </w:p>
    <w:p w:rsidR="00D173E3" w:rsidRPr="00FE7981" w:rsidRDefault="00D173E3" w:rsidP="004F72ED">
      <w:pPr>
        <w:spacing w:line="360" w:lineRule="auto"/>
        <w:rPr>
          <w:rFonts w:ascii="Times New Roman" w:hAnsi="Times New Roman"/>
          <w:b/>
        </w:rPr>
      </w:pPr>
      <w:r w:rsidRPr="00FE7981">
        <w:rPr>
          <w:rFonts w:ascii="Times New Roman" w:hAnsi="Times New Roman"/>
          <w:b/>
        </w:rPr>
        <w:t>A última e definitiva “pá de terra” no caixão do socialismo?</w:t>
      </w:r>
    </w:p>
    <w:p w:rsidR="00D173E3" w:rsidRPr="00FE7981" w:rsidRDefault="00D173E3" w:rsidP="004F72ED">
      <w:pPr>
        <w:pStyle w:val="NormalWeb"/>
        <w:spacing w:before="0" w:beforeAutospacing="0" w:after="0" w:afterAutospacing="0" w:line="360" w:lineRule="auto"/>
        <w:ind w:firstLine="720"/>
        <w:rPr>
          <w:rFonts w:eastAsia="Times"/>
          <w:lang w:val="pt-BR"/>
        </w:rPr>
      </w:pPr>
      <w:r w:rsidRPr="00FE7981">
        <w:rPr>
          <w:rFonts w:eastAsia="Times"/>
          <w:lang w:val="pt-BR"/>
        </w:rPr>
        <w:t xml:space="preserve">O que aparentemente se apresentou como uma simples medida burocrática de tipo regulatório – o anúncio realizado no dia 6 de junho de 2002 pelo Departamento do Comércio dos Estados Unidos, secundado em telefonema dado no mesmo dia pelo Presidente George W. Bush a seu contraparte da Rússia, Vladimir Putin, tendente a confirmar o </w:t>
      </w:r>
      <w:r w:rsidRPr="00FE7981">
        <w:rPr>
          <w:rFonts w:eastAsia="Times"/>
          <w:i/>
          <w:lang w:val="pt-BR"/>
        </w:rPr>
        <w:t>status</w:t>
      </w:r>
      <w:r w:rsidRPr="00FE7981">
        <w:rPr>
          <w:rFonts w:eastAsia="Times"/>
          <w:lang w:val="pt-BR"/>
        </w:rPr>
        <w:t xml:space="preserve"> de “economia de mercado” doravante atribuído ao país formado a partir do ex-sistema socialista soviético – constitui, na verdade, uma mudança de caráter histórico e fundamental nas relações internacionais contemporâneas. A partir dessa data, terminou, de fato e oficialmente, o regime econômico socialista na face do planeta.</w:t>
      </w:r>
    </w:p>
    <w:p w:rsidR="00D173E3" w:rsidRPr="00FE7981" w:rsidRDefault="00D173E3" w:rsidP="004F72ED">
      <w:pPr>
        <w:pStyle w:val="NormalWeb"/>
        <w:spacing w:before="0" w:beforeAutospacing="0" w:after="0" w:afterAutospacing="0" w:line="360" w:lineRule="auto"/>
        <w:ind w:firstLine="720"/>
        <w:rPr>
          <w:rFonts w:eastAsia="Times"/>
          <w:lang w:val="pt-BR"/>
        </w:rPr>
      </w:pPr>
      <w:r w:rsidRPr="00FE7981">
        <w:rPr>
          <w:rFonts w:eastAsia="Times"/>
          <w:lang w:val="pt-BR"/>
        </w:rPr>
        <w:t xml:space="preserve">Os ainda partidários ou simplesmente saudosistas de uma economia de comando centralizado, do tipo que existia na ex-União das Repúblicas Socialistas Soviéticas e na China há cerca de duas décadas, poderão, finalmente, derramar uma lágrima de crocodilo pela morte, quase sem comemorações, de um regime que, em seus tempos áureos, cobria dois terços das terras emergidas e igual proporção de seres viventes. A geração pós-Segunda Guerra deve ainda lembrar-se que o socialismo se apresentava então como o sucessor natural do capitalismo enquanto organização social de produção e que, em 1959, sob a liderança do ex-primeiro ministro soviético Nikita Krushev, ele prometia enterrar o próprio capitalismo. </w:t>
      </w:r>
    </w:p>
    <w:p w:rsidR="00D173E3" w:rsidRPr="00FE7981" w:rsidRDefault="00D173E3" w:rsidP="004F72ED">
      <w:pPr>
        <w:pStyle w:val="NormalWeb"/>
        <w:spacing w:before="0" w:beforeAutospacing="0" w:after="0" w:afterAutospacing="0" w:line="360" w:lineRule="auto"/>
        <w:ind w:firstLine="720"/>
        <w:rPr>
          <w:rFonts w:eastAsia="Times"/>
          <w:lang w:val="pt-BR"/>
        </w:rPr>
      </w:pPr>
      <w:r w:rsidRPr="00FE7981">
        <w:rPr>
          <w:rFonts w:eastAsia="Times"/>
          <w:lang w:val="pt-BR"/>
        </w:rPr>
        <w:t>Ainda que sem grandes anuncios e funerais, o socialismo, para todos os efeitos práticos, acaba de morrer, sem discurso e sem coroa. Se fosse o caso de escolher algum epitáfio tumular, ele poderia levar a seguinte inscrição, para deleite de alguns e o ódio incontido de vários outros: “Camaradas: o capital venceu”.</w:t>
      </w:r>
    </w:p>
    <w:p w:rsidR="00D173E3" w:rsidRPr="00FE7981" w:rsidRDefault="00D173E3" w:rsidP="004F72ED">
      <w:pPr>
        <w:pStyle w:val="NormalWeb"/>
        <w:spacing w:before="0" w:beforeAutospacing="0" w:after="0" w:afterAutospacing="0" w:line="360" w:lineRule="auto"/>
        <w:ind w:firstLine="720"/>
        <w:rPr>
          <w:rFonts w:eastAsia="Times"/>
          <w:lang w:val="pt-BR"/>
        </w:rPr>
      </w:pPr>
      <w:r w:rsidRPr="00FE7981">
        <w:rPr>
          <w:rFonts w:eastAsia="Times"/>
          <w:lang w:val="pt-BR"/>
        </w:rPr>
        <w:t xml:space="preserve">De fato, o capital, esse instrumento da exploração do homem pelo homem, submetido, há um século e meio, ao bisturi intelectual de um cérebro genial como o de Karl Marx, o vil capital emerge como vitorioso na mais formidável batalha do século </w:t>
      </w:r>
      <w:r w:rsidRPr="00FE7981">
        <w:rPr>
          <w:rFonts w:eastAsia="Times"/>
          <w:lang w:val="pt-BR"/>
        </w:rPr>
        <w:lastRenderedPageBreak/>
        <w:t xml:space="preserve">XX: aquela travada numa luta sem tréguas entre opressores e oprimidos, entre explorados e exploradores, entre burgueses e proletários, entre capitalistas e assalariados, enfim, entre os portadores do passado e os arautos do futuro. O passado venceu e o velho e carcomido capital acaba de cravar o último prego no caixão mortuário do socialismo, sem que disso se tivessem apercebido os velhos comunistas e os novos socialistas. Marx, que passou toda uma vida percorrendo suas entranhas para desvendar o segredo que explicava a dinâmica do capitalismo – para os não iniciados, o mistério do capital se encontra no processo de extração da mais-valia –, escreveu o </w:t>
      </w:r>
      <w:r w:rsidRPr="00FE7981">
        <w:rPr>
          <w:rFonts w:eastAsia="Times"/>
          <w:i/>
          <w:lang w:val="pt-BR"/>
        </w:rPr>
        <w:t>nec plus ultra</w:t>
      </w:r>
      <w:r w:rsidRPr="00FE7981">
        <w:rPr>
          <w:rFonts w:eastAsia="Times"/>
          <w:lang w:val="pt-BR"/>
        </w:rPr>
        <w:t xml:space="preserve"> desse sistema opressor em 1867, revelando sua mística nesse </w:t>
      </w:r>
      <w:r w:rsidRPr="00FE7981">
        <w:rPr>
          <w:rFonts w:eastAsia="Times"/>
          <w:i/>
          <w:lang w:val="pt-BR"/>
        </w:rPr>
        <w:t>magnum opus</w:t>
      </w:r>
      <w:r w:rsidRPr="00FE7981">
        <w:rPr>
          <w:rFonts w:eastAsia="Times"/>
          <w:lang w:val="pt-BR"/>
        </w:rPr>
        <w:t xml:space="preserve"> que é </w:t>
      </w:r>
      <w:r w:rsidRPr="00FE7981">
        <w:rPr>
          <w:rFonts w:eastAsia="Times"/>
          <w:i/>
          <w:lang w:val="pt-BR"/>
        </w:rPr>
        <w:t>Das Kapital</w:t>
      </w:r>
      <w:r w:rsidRPr="00FE7981">
        <w:rPr>
          <w:rFonts w:eastAsia="Times"/>
          <w:lang w:val="pt-BR"/>
        </w:rPr>
        <w:t>, onde o processo de acumulação é não apenas cientificamente analisado como devidamente vilipendiado.</w:t>
      </w:r>
    </w:p>
    <w:p w:rsidR="00D173E3" w:rsidRPr="00FE7981" w:rsidRDefault="00D173E3" w:rsidP="004F72ED">
      <w:pPr>
        <w:pStyle w:val="NormalWeb"/>
        <w:spacing w:before="0" w:beforeAutospacing="0" w:after="0" w:afterAutospacing="0" w:line="360" w:lineRule="auto"/>
        <w:ind w:firstLine="720"/>
        <w:rPr>
          <w:rFonts w:eastAsia="Times"/>
          <w:lang w:val="pt-BR"/>
        </w:rPr>
      </w:pPr>
      <w:r w:rsidRPr="00FE7981">
        <w:rPr>
          <w:rFonts w:eastAsia="Times"/>
          <w:lang w:val="pt-BR"/>
        </w:rPr>
        <w:t xml:space="preserve">A despeito, porém, de sua visão messiânica sobre o fim do capitalismo e sobre a emergência natural do socialismo no seu seguimento, a morte deste último acaba de ser anunciada no decreto burocrático desse 6º dia do mês de junho de 2002, exatamente 135 anos depois da primeira edição do </w:t>
      </w:r>
      <w:r w:rsidRPr="00FE7981">
        <w:rPr>
          <w:rFonts w:eastAsia="Times"/>
          <w:i/>
          <w:lang w:val="pt-BR"/>
        </w:rPr>
        <w:t>Capital</w:t>
      </w:r>
      <w:r w:rsidRPr="00FE7981">
        <w:rPr>
          <w:rFonts w:eastAsia="Times"/>
          <w:lang w:val="pt-BR"/>
        </w:rPr>
        <w:t>. Como e porque isso ocorreu, e que implicações isso pode ter para a vida econômica moderna e, pessoalmente, para vários de nós, que ainda acreditamos nas virtudes eventualmente redentoras do socialismo, essas questões constituem o objeto deste ensaio de análise e de reflexão que de certa forma se apresenta igualmente como um balanço intelectual e uma extração de lições.</w:t>
      </w:r>
    </w:p>
    <w:p w:rsidR="00D173E3" w:rsidRPr="00FE7981" w:rsidRDefault="00D173E3" w:rsidP="004F72ED">
      <w:pPr>
        <w:pStyle w:val="NormalWeb"/>
        <w:spacing w:before="0" w:beforeAutospacing="0" w:after="0" w:afterAutospacing="0" w:line="360" w:lineRule="auto"/>
        <w:ind w:firstLine="720"/>
        <w:rPr>
          <w:rFonts w:eastAsia="Times"/>
          <w:lang w:val="pt-BR"/>
        </w:rPr>
      </w:pPr>
      <w:r w:rsidRPr="00FE7981">
        <w:rPr>
          <w:rFonts w:eastAsia="Times"/>
          <w:lang w:val="pt-BR"/>
        </w:rPr>
        <w:t xml:space="preserve">Vejamos, em primeiro lugar e dentro de seu contexto, os fatos singelos que marcam o que chamei de “fim oficial do socialismo” e que motivam, inclusive num sentido de “balanço intelectual de uma época”, a análise de cunho marxista que se pretende oferecer em seguida sobre esse óbito e suas razões profundas. </w:t>
      </w:r>
    </w:p>
    <w:p w:rsidR="00D173E3" w:rsidRPr="00FE7981" w:rsidRDefault="00D173E3" w:rsidP="004F72ED">
      <w:pPr>
        <w:pStyle w:val="NormalWeb"/>
        <w:spacing w:before="0" w:beforeAutospacing="0" w:after="0" w:afterAutospacing="0" w:line="360" w:lineRule="auto"/>
        <w:ind w:firstLine="720"/>
        <w:rPr>
          <w:rFonts w:eastAsia="Times"/>
          <w:lang w:val="pt-BR"/>
        </w:rPr>
      </w:pPr>
    </w:p>
    <w:p w:rsidR="00D173E3" w:rsidRPr="00FE7981" w:rsidRDefault="00D173E3" w:rsidP="004F72ED">
      <w:pPr>
        <w:pStyle w:val="BodyText"/>
        <w:spacing w:line="360" w:lineRule="auto"/>
      </w:pPr>
      <w:r w:rsidRPr="00FE7981">
        <w:t>Uma medida simples, mas altamente simbólica: de volta ao mercado capitalista</w:t>
      </w:r>
    </w:p>
    <w:p w:rsidR="00D173E3" w:rsidRPr="00FE7981" w:rsidRDefault="00D173E3" w:rsidP="004F72ED">
      <w:pPr>
        <w:pStyle w:val="NormalWeb"/>
        <w:spacing w:before="0" w:beforeAutospacing="0" w:after="0" w:afterAutospacing="0" w:line="360" w:lineRule="auto"/>
        <w:ind w:firstLine="720"/>
        <w:rPr>
          <w:rFonts w:eastAsia="Times"/>
          <w:lang w:val="pt-BR"/>
        </w:rPr>
      </w:pPr>
      <w:r w:rsidRPr="00FE7981">
        <w:rPr>
          <w:rFonts w:eastAsia="Times"/>
          <w:lang w:val="pt-BR"/>
        </w:rPr>
        <w:t xml:space="preserve">No dia 6 de junho de 2002, no mesmo dia em que na Europa – em presença de vários veteranos americanos – se comemorava mais um aniversário do “dia D”, a data da invasão da Normandia, em 1944, pelas tropas aliadas ocidentais, desafogando um pouco a terrível carga militar até então exercida sobre a União Soviética na sua luta de morte conta a Alemanha nazista, nesse dia simbólico o presidente Bush telefonaa a seu colega Putin e anunciava que a partir desse dia os Estados Unidos passavam a considerar a Rússia como uma “economia de mercado”. Pouco menos de uma semana antes, a União </w:t>
      </w:r>
      <w:r w:rsidRPr="00FE7981">
        <w:rPr>
          <w:rFonts w:eastAsia="Times"/>
          <w:lang w:val="pt-BR"/>
        </w:rPr>
        <w:lastRenderedPageBreak/>
        <w:t xml:space="preserve">Européia tinha tomado atitude similar, respondendo a uma reclamação legítima das autoridades russas, que viam suas empresas e interesses econômicos serem tratados de maneira desigual nas disputas e nas concorrências comerciais. O que isto significava na prática?: medidas antidumping, afastamento de compras governamentais ou de concorrências públicas, assim como tarifas punitivas ou outras práticas discriminatórias podiam ser aplicadas contra as empresas russas sem qualquer tipo de defesa nos foros multilaterais ou mesmo nas instâncias nacionais dos países ocidentais ou, de forma geral, naqueles membros do GATT-OMC, o Acordo Geral sobre Tarifas Aduaneiras e Comércio, atualmente administrado pela Organização Mundial do Comércio. </w:t>
      </w:r>
    </w:p>
    <w:p w:rsidR="00D173E3" w:rsidRPr="00FE7981" w:rsidRDefault="00D173E3" w:rsidP="004F72ED">
      <w:pPr>
        <w:pStyle w:val="NormalWeb"/>
        <w:spacing w:before="0" w:beforeAutospacing="0" w:after="0" w:afterAutospacing="0" w:line="360" w:lineRule="auto"/>
        <w:ind w:firstLine="720"/>
        <w:rPr>
          <w:rFonts w:eastAsia="Times"/>
          <w:lang w:val="pt-BR"/>
        </w:rPr>
      </w:pPr>
      <w:r w:rsidRPr="00FE7981">
        <w:rPr>
          <w:rFonts w:eastAsia="Times"/>
          <w:lang w:val="pt-BR"/>
        </w:rPr>
        <w:t xml:space="preserve">Um exemplo entre outros pode ilustrar o significado prático dessa medida: as recentes salvaguardas americanas aplicadas de maneira ilegal – do ponto de vista da legislação pertinente regulada pela OMC – no setor siderúrgico estão penalizando severamente diversas empresas produtoras de aço da Europa, da Ásia e da América Latina, inclusive diversas companhias competitivas do Brasil. Ora, a União Européia, a China, o Japão e a Coréia estão preparando-se para desafiar as salvaguardas dos EUA na OMC – ao abrigo do acordo pertinente ou no âmbito do sistema de solução de controvérsias –, podendo mesmo chegar à aplicação de medidas retaliatórias. O Brasil considera ainda suas opções nessa matéria, algo que a Rússia dificilmente pode fazer sem o risco de contra-retaliações americanas, uma vez que o país ainda não se tornou parte contratante do GATT e, como tal, membro da OMC. </w:t>
      </w:r>
    </w:p>
    <w:p w:rsidR="00D173E3" w:rsidRPr="00FE7981" w:rsidRDefault="00D173E3" w:rsidP="004F72ED">
      <w:pPr>
        <w:pStyle w:val="NormalWeb"/>
        <w:spacing w:before="0" w:beforeAutospacing="0" w:after="0" w:afterAutospacing="0" w:line="360" w:lineRule="auto"/>
        <w:ind w:firstLine="720"/>
        <w:rPr>
          <w:lang w:val="pt-BR"/>
        </w:rPr>
      </w:pPr>
      <w:r w:rsidRPr="00FE7981">
        <w:rPr>
          <w:lang w:val="pt-BR"/>
        </w:rPr>
        <w:t xml:space="preserve">A declaração efetuada pelos dois principais atores do sistema multilateral de comércio abre assim as portas para que a Rússia possa ser aceita na OMC, caminho, é verdade, mais complicado do que parece para ex-economias socialistas, uma vez que a China, a outra grande economia socialista convertida ao capitalismo levou pelo menos 14 anos nesse processo, encerrado pouco tempo antes de ser realizada a quinta conferência ministerial da OMC, em Doha, em novembro de 2001. O que determinou que a UE e os EUA reconhecessem, dez anos depois do final da Guerra Fria e do desmantelamento da finada União Soviética, o caráter de “mercado” da atual economia do velho inimigo socialista? Basicamente o final do controle estatal dos meios de produção, mas também alguns outros critérios de desempenho considerados </w:t>
      </w:r>
      <w:r w:rsidRPr="00FE7981">
        <w:rPr>
          <w:i/>
          <w:lang w:val="pt-BR"/>
        </w:rPr>
        <w:t>market friendly</w:t>
      </w:r>
      <w:r w:rsidRPr="00FE7981">
        <w:rPr>
          <w:lang w:val="pt-BR"/>
        </w:rPr>
        <w:t xml:space="preserve">, como, por exemplo, conversibilidade da moeda russa, a aceitação de investimentos estrangeiros, práticas </w:t>
      </w:r>
      <w:r w:rsidRPr="00FE7981">
        <w:rPr>
          <w:lang w:val="pt-BR"/>
        </w:rPr>
        <w:lastRenderedPageBreak/>
        <w:t xml:space="preserve">salariais compatíveis com uma economia competitiva e, fundamentalmente, a diminuição do controle governamental nos negócios. Segundo análise dos organismos multilaterais, o setor privado controla atualmente cerca de 70% do PIB da Rússia. </w:t>
      </w:r>
    </w:p>
    <w:p w:rsidR="00D173E3" w:rsidRPr="00FE7981" w:rsidRDefault="00D173E3" w:rsidP="004F72ED">
      <w:pPr>
        <w:pStyle w:val="NormalWeb"/>
        <w:spacing w:before="0" w:beforeAutospacing="0" w:after="0" w:afterAutospacing="0" w:line="360" w:lineRule="auto"/>
        <w:ind w:firstLine="720"/>
        <w:rPr>
          <w:lang w:val="pt-BR"/>
        </w:rPr>
      </w:pPr>
      <w:r w:rsidRPr="00FE7981">
        <w:rPr>
          <w:lang w:val="pt-BR"/>
        </w:rPr>
        <w:t xml:space="preserve">O fato de que uma boa parte dessa nova “economia capitalista” na Rússia seja caracterizada pela corrupção generalizada das práticas empresariais, que o ambiente legal dos negócios possa ser descrito como “subdesenvolvido” ou que mais da metade dos dirigentes das empresas privadas seja formada pela antiga </w:t>
      </w:r>
      <w:r w:rsidRPr="00FE7981">
        <w:rPr>
          <w:i/>
          <w:lang w:val="pt-BR"/>
        </w:rPr>
        <w:t>nomenklatura</w:t>
      </w:r>
      <w:r w:rsidRPr="00FE7981">
        <w:rPr>
          <w:lang w:val="pt-BR"/>
        </w:rPr>
        <w:t xml:space="preserve"> do PCUS reciclada na gestão de ex-empresas estatais vendidas a preços irrisórios, tudo isso não importa muito do ponto de vista da classificação recém atribuída pela UE e pelos EUA ao sistema econômico da Rússia como um todo: doravante ele será considerado capitalista, ou pelo menos “de mercado”, e tratado como tal, o que obviamente implica implica em custos e benefícios igualmente. Por exemplo, haverá, a partir de agora, menor tolerância dos países ocidentais com medidas governamentais russas que possam ser assimiladas a subsídios oficiais a empresas privadas, sob risco de suspensão unilateral do tratamento não discriminatório normalmente abrigado sob a cláusula de nação-mais-favorecida.</w:t>
      </w:r>
    </w:p>
    <w:p w:rsidR="00D173E3" w:rsidRPr="00FE7981" w:rsidRDefault="00D173E3" w:rsidP="004F72ED">
      <w:pPr>
        <w:pStyle w:val="NormalWeb"/>
        <w:spacing w:before="0" w:beforeAutospacing="0" w:after="0" w:afterAutospacing="0" w:line="360" w:lineRule="auto"/>
        <w:ind w:firstLine="720"/>
        <w:rPr>
          <w:rFonts w:eastAsia="Times"/>
          <w:lang w:val="pt-BR"/>
        </w:rPr>
      </w:pPr>
      <w:r w:rsidRPr="00FE7981">
        <w:rPr>
          <w:lang w:val="pt-BR"/>
        </w:rPr>
        <w:t xml:space="preserve">Esclarecido o conteúdo das medidas adotadas nesse início de junho de 2002 pelas principais potências econômicas ocidentais, vamos repetir para que fique bem claro seu significado histórico: </w:t>
      </w:r>
      <w:r w:rsidRPr="00FE7981">
        <w:rPr>
          <w:rFonts w:eastAsia="Times"/>
          <w:lang w:val="pt-BR"/>
        </w:rPr>
        <w:t>terminou, de fato e oficialmente, o regime econômico socialista na face do planeta. Ele agora vai resumir-se a um capítulo, se tanto, dos manuais de história econômica, já que não se poderia utilizar, no caso da Albânia, por exemplo, o conceito da Unesco de “patrimônio universal” para tentar preservar – como uma espécie “ameaçada de extinção” – os poucos exemplos remanescentes de socialismo econômico “real”.</w:t>
      </w:r>
    </w:p>
    <w:p w:rsidR="00D173E3" w:rsidRPr="00FE7981" w:rsidRDefault="00D173E3" w:rsidP="004F72ED">
      <w:pPr>
        <w:pStyle w:val="NormalWeb"/>
        <w:spacing w:before="0" w:beforeAutospacing="0" w:after="0" w:afterAutospacing="0" w:line="360" w:lineRule="auto"/>
        <w:ind w:firstLine="720"/>
        <w:rPr>
          <w:rFonts w:eastAsia="Times"/>
          <w:lang w:val="pt-BR"/>
        </w:rPr>
      </w:pPr>
      <w:r w:rsidRPr="00FE7981">
        <w:rPr>
          <w:rFonts w:eastAsia="Times"/>
          <w:lang w:val="pt-BR"/>
        </w:rPr>
        <w:t xml:space="preserve">O fato de que duas pequenas economias isoladas – uma numa ilha bem conhecida no Caribe, a outra num canto recuado da Ásia oriental – continuem a se proclamar socialistas não apresenta a menor relevância para a economia internacional, ainda que isso possa ser um elemento político de heterogeneidade no “padrão normal” do relacionamento entre estados membros da comunidade internacional. Tanto Cuba – que aliás nunca deixou de ser parte contratante, aliás país fundador, do GATT, tendo abrigado a famosa conferência econômica sobre comércio e emprego de 1947-48 que criou uma primeira organização dedicada ao comércio multilateral – como a Coréia do Norte são absolutamente marginais do ponto de vista das trocas comerciais, dos fluxos de </w:t>
      </w:r>
      <w:r w:rsidRPr="00FE7981">
        <w:rPr>
          <w:rFonts w:eastAsia="Times"/>
          <w:lang w:val="pt-BR"/>
        </w:rPr>
        <w:lastRenderedPageBreak/>
        <w:t xml:space="preserve">investimentos e finanças, enfim, do grande intercâmbio capitalista que agora passou a ser a norma na maior parte do mundo. Mesmo a China ainda formalmente socialista – de fato ostentando o monopólio político de um partido que insiste em se proclamar comunista, quando nada mais é senão uma ditadura de oligarcas, herdeiros de um movimento que restaurou a dignidade do país enquanto nação independente – pratica de fato um capitalismo de Estado, com imensos setores abertos à economia privada, como ocorre aliás em muitos outros países integrados ao sistema econômico mundial. </w:t>
      </w:r>
    </w:p>
    <w:p w:rsidR="00D173E3" w:rsidRPr="00FE7981" w:rsidRDefault="00D173E3" w:rsidP="004F72ED">
      <w:pPr>
        <w:pStyle w:val="NormalWeb"/>
        <w:spacing w:before="0" w:beforeAutospacing="0" w:after="0" w:afterAutospacing="0" w:line="360" w:lineRule="auto"/>
        <w:ind w:firstLine="720"/>
        <w:rPr>
          <w:lang w:val="pt-BR"/>
        </w:rPr>
      </w:pPr>
      <w:r w:rsidRPr="00FE7981">
        <w:rPr>
          <w:rFonts w:eastAsia="Times"/>
          <w:lang w:val="pt-BR"/>
        </w:rPr>
        <w:t xml:space="preserve">Reduziram-se assim, tremendamente, as últimas </w:t>
      </w:r>
      <w:r w:rsidRPr="00FE7981">
        <w:rPr>
          <w:rFonts w:eastAsia="Times"/>
          <w:i/>
          <w:lang w:val="pt-BR"/>
        </w:rPr>
        <w:t>terrae incognitae</w:t>
      </w:r>
      <w:r w:rsidRPr="00FE7981">
        <w:rPr>
          <w:rFonts w:eastAsia="Times"/>
          <w:lang w:val="pt-BR"/>
        </w:rPr>
        <w:t xml:space="preserve"> da economia capitalista internacional, operando-se, na última década, um verdadeiro “fim da Geografia”, bem mais completo e definitivo, em todo caso, do que o propalado “fim da História” no plano político e social. Em qualquer hipótese, o </w:t>
      </w:r>
      <w:r w:rsidRPr="00FE7981">
        <w:rPr>
          <w:lang w:val="pt-BR"/>
        </w:rPr>
        <w:t xml:space="preserve">comunismo, o mais importante fenômeno da história ideológica contemporânea, terminou por encaminhar-se ao museu das antiguidades, ao lado do machado de bronze e da roca de fiar, onde Engels havia também previsto um lugar para o Estado. </w:t>
      </w:r>
      <w:r w:rsidRPr="00FE7981">
        <w:rPr>
          <w:rFonts w:eastAsia="Times"/>
          <w:lang w:val="pt-BR"/>
        </w:rPr>
        <w:t>Que análise marxista de seu itinerário propriamente econômico pode ser feita a partir daqui?</w:t>
      </w:r>
    </w:p>
    <w:p w:rsidR="00D173E3" w:rsidRPr="00FE7981" w:rsidRDefault="00D173E3" w:rsidP="004F72ED">
      <w:pPr>
        <w:pStyle w:val="NormalWeb"/>
        <w:spacing w:before="0" w:beforeAutospacing="0" w:after="0" w:afterAutospacing="0" w:line="360" w:lineRule="auto"/>
        <w:ind w:firstLine="720"/>
        <w:rPr>
          <w:lang w:val="pt-BR"/>
        </w:rPr>
      </w:pPr>
    </w:p>
    <w:p w:rsidR="00D173E3" w:rsidRPr="00FE7981" w:rsidRDefault="00D173E3" w:rsidP="004F72ED">
      <w:pPr>
        <w:pStyle w:val="BodyText"/>
        <w:spacing w:line="360" w:lineRule="auto"/>
      </w:pPr>
      <w:r w:rsidRPr="00FE7981">
        <w:t>A longa marcha da Rússia do capitalismo periférico à periferia do capitalismo, com uma torturada (e tortuosa) transição pelo socialismo</w:t>
      </w:r>
    </w:p>
    <w:p w:rsidR="00D173E3" w:rsidRPr="00FE7981" w:rsidRDefault="00D173E3" w:rsidP="004F72ED">
      <w:pPr>
        <w:pStyle w:val="NormalWeb"/>
        <w:spacing w:before="0" w:beforeAutospacing="0" w:after="0" w:afterAutospacing="0" w:line="360" w:lineRule="auto"/>
        <w:ind w:firstLine="810"/>
        <w:rPr>
          <w:rFonts w:eastAsia="Times"/>
          <w:lang w:val="pt-BR"/>
        </w:rPr>
      </w:pPr>
      <w:r w:rsidRPr="00FE7981">
        <w:rPr>
          <w:lang w:val="pt-BR"/>
        </w:rPr>
        <w:t>Todos os estudiosos do marxismo-leninismo, mesmo os trotsquistas e os diversos opositores do socialismo de tipo stalinista – mas não necessariamente os socialistas de inspiração democrata, estilo Segunda Internacional –, tendiam a compartilhar da idéia de que a ex-União Sovi</w:t>
      </w:r>
      <w:r w:rsidRPr="00FE7981">
        <w:rPr>
          <w:rFonts w:eastAsia="Times"/>
          <w:lang w:val="pt-BR"/>
        </w:rPr>
        <w:t xml:space="preserve">ética, até os anos 1960 pelo menos, a despeito das deformações burocráticas e francamente ditatoriais de seu sistema político e administrativo, constituia, fundamentalmente, um sistema econômico em transição para o socialismo, ou até mesmo para o comunismo, como pareciam acreditar, talvez ingenuamente, os partidários da linha albanesa. O monopólio ideológico das análises do tipo Terceira Internacional era tão completo, mesmo entre os seus opositores, que poucos questionavam a natureza desse “socialismo de Estado” e, de fato, poucos contestavam até mesmo os fundamentos e as premissas conceituais da proposta bolchevique de um sistema econômico “anti-mercado”, tal como avançado por Lênin nos anos tumultuosos de revolução e de guerra civil e por todos considerado como o sucessor “natural” da economia capitalista. </w:t>
      </w:r>
    </w:p>
    <w:p w:rsidR="00D173E3" w:rsidRPr="00FE7981" w:rsidRDefault="00D173E3" w:rsidP="004F72ED">
      <w:pPr>
        <w:pStyle w:val="NormalWeb"/>
        <w:spacing w:before="0" w:beforeAutospacing="0" w:after="0" w:afterAutospacing="0" w:line="360" w:lineRule="auto"/>
        <w:ind w:firstLine="810"/>
        <w:rPr>
          <w:rFonts w:eastAsia="Times"/>
          <w:lang w:val="pt-BR"/>
        </w:rPr>
      </w:pPr>
      <w:r w:rsidRPr="00FE7981">
        <w:rPr>
          <w:rFonts w:eastAsia="Times"/>
          <w:lang w:val="pt-BR"/>
        </w:rPr>
        <w:lastRenderedPageBreak/>
        <w:t>Este foi, numa análise estritamente marxista, o erro mais grosseiro cometido por militantes idealistas, forjados nas lutas democráticas em prol da classe operária mas absolutamente ignorantes na administração econômica da sociedade. Lênin, por exemplo, era um gênio como líder político, mas um péssimo economista, assim como Marx podia ter suas qualidades como economista e historiador, mas era francamente débil enquanto líder político ou administrador de aparatos partidários. O preconceito contra o mercado simplesmente inviabilizou a primeira economia socialista constituída sob a liderança formal das idéias marxistas e destruiu por completo as chances de preservação histórica do “primeiro Estado operário” da humanidade. Como isso foi possível?</w:t>
      </w:r>
    </w:p>
    <w:p w:rsidR="00D173E3" w:rsidRPr="00FE7981" w:rsidRDefault="00D173E3" w:rsidP="004F72ED">
      <w:pPr>
        <w:pStyle w:val="NormalWeb"/>
        <w:spacing w:before="0" w:beforeAutospacing="0" w:after="0" w:afterAutospacing="0" w:line="360" w:lineRule="auto"/>
        <w:ind w:firstLine="810"/>
        <w:rPr>
          <w:lang w:val="pt-BR"/>
        </w:rPr>
      </w:pPr>
      <w:r w:rsidRPr="00FE7981">
        <w:rPr>
          <w:rFonts w:eastAsia="Times"/>
          <w:lang w:val="pt-BR"/>
        </w:rPr>
        <w:t xml:space="preserve">Não creio, pessoalmente, que a responsabilidade principal pelo insucesso histórico do sistema econômico de tipo soviético esteja com o próprio Marx, ainda que a maior parte das idéias defendidas pelos epígonos remetam a uma ou outra de suas afirmações contraditórias sobre o funcionamento de um “regime socialista ideal”. O fato é que foi </w:t>
      </w:r>
      <w:r w:rsidRPr="00FE7981">
        <w:rPr>
          <w:lang w:val="pt-BR"/>
        </w:rPr>
        <w:t>Lênin, o gênio politico a quem já nos referimos, que conseguiu “inventar”, num país atrasado como a Rússia czarista, um regime social e político que, apresentando-se como o “successor natural” do capitalismo, passou a servir de exemplo à Europa e a todo o mundo, na continuidade de uma história occidental plena de crises econômicas e de revoluções políticas. A revolução iniciada por ele se congela em seguida no “socialismo em um único país”, quando Stalin consegue consolidar-se no poder e apimentar seu leninismo com algumas pitadas de nacionalismo e grandes doses de brutalidade. Tem assim início a construção de um sistema econômico profundamente irracional, operando a um enorme custo social e humano, que apenas conseguiu se manter graças às desventuras econômicas e políticas do próprio capitalismo – crises e depressões a partir dos anos 20, ascensão dos fascismos, guerras entre impérios – e ao fascínio intelectual que idéias econômicas estatizantes e a concepção de um Estado administrador exercia em lideranças importantes do próprio mundo ocidental.</w:t>
      </w:r>
    </w:p>
    <w:p w:rsidR="00D173E3" w:rsidRPr="00FE7981" w:rsidRDefault="00D173E3" w:rsidP="004F72ED">
      <w:pPr>
        <w:spacing w:line="400" w:lineRule="atLeast"/>
        <w:ind w:firstLine="810"/>
        <w:rPr>
          <w:rFonts w:ascii="Times New Roman" w:hAnsi="Times New Roman"/>
        </w:rPr>
      </w:pPr>
      <w:r w:rsidRPr="00FE7981">
        <w:rPr>
          <w:rFonts w:ascii="Times New Roman" w:hAnsi="Times New Roman"/>
        </w:rPr>
        <w:t xml:space="preserve">A reconstituição histórica dos setenta anos do itinerário econômico comunista não deixa de ser, contraditoriamente, uma discussão basicamente política, consistindo essencialmente numa “história das idéias” (ou das mitologias políticas) do século XX. O fato é que as idéias políticas – algo que o marxismo reconhece explicitamente – têm fundamentos essencialmente econômicos. No caso específico do comunismo de tipo </w:t>
      </w:r>
      <w:r w:rsidRPr="00FE7981">
        <w:rPr>
          <w:rFonts w:ascii="Times New Roman" w:hAnsi="Times New Roman"/>
        </w:rPr>
        <w:lastRenderedPageBreak/>
        <w:t xml:space="preserve">soviético, sua mitologia política – sua “ilusão fundamental”, diria Furet em conhecido livro de história das idéias socialistas no século XX </w:t>
      </w:r>
      <w:r w:rsidRPr="00FE7981">
        <w:rPr>
          <w:rStyle w:val="FootnoteReference"/>
          <w:rFonts w:ascii="Times New Roman" w:hAnsi="Times New Roman"/>
        </w:rPr>
        <w:footnoteReference w:id="1"/>
      </w:r>
      <w:r w:rsidRPr="00FE7981">
        <w:rPr>
          <w:rFonts w:ascii="Times New Roman" w:hAnsi="Times New Roman"/>
        </w:rPr>
        <w:t xml:space="preserve"> – foi alimentada não só por sua promessa de igualdade e de justiça, no plano social, mas sobretudo e principalmente pela concepção marxista de que um sistema regulado democraticamente pelo conjunto dos trabalhadores seria mais suscetível do que a “anarquia da produção capitalista” de afastar crises periódicas e escassez, de aportar abundância material, bem-estar individual e progresso tecnológico. A premissa básica da mensagem marxiana quanto ao “fim da história”, dos primeiros escritos da juventude até o </w:t>
      </w:r>
      <w:r w:rsidRPr="00FE7981">
        <w:rPr>
          <w:rFonts w:ascii="Times New Roman" w:hAnsi="Times New Roman"/>
          <w:i/>
        </w:rPr>
        <w:t>Capital</w:t>
      </w:r>
      <w:r w:rsidRPr="00FE7981">
        <w:rPr>
          <w:rFonts w:ascii="Times New Roman" w:hAnsi="Times New Roman"/>
        </w:rPr>
        <w:t>, refere-se, antes de mais nada, à apropriação coletiva dos meios de produção, por iniciativa e sob o comando da classe operária, transformada em redentora universal: de fato, a abolição da propriedade privada, “mãe de todas as injustiças”, sempre apresentou um formidável poder de atração para as massas de deserdados de todo o mundo e mesmo para milhões de proletários de países desenvolvidos.</w:t>
      </w:r>
    </w:p>
    <w:p w:rsidR="00D173E3" w:rsidRPr="00FE7981" w:rsidRDefault="00D173E3" w:rsidP="004F72ED">
      <w:pPr>
        <w:spacing w:line="400" w:lineRule="atLeast"/>
        <w:ind w:firstLine="810"/>
        <w:rPr>
          <w:rFonts w:ascii="Times New Roman" w:hAnsi="Times New Roman"/>
        </w:rPr>
      </w:pPr>
      <w:r w:rsidRPr="00FE7981">
        <w:rPr>
          <w:rFonts w:ascii="Times New Roman" w:hAnsi="Times New Roman"/>
        </w:rPr>
        <w:t xml:space="preserve">Não se poderia igualmente esquecer que grande parte das mensagens simpáticas ao socialismo enquanto sistema de organização social – não apenas soviético, mas também chinês e “terceiro-mundista”, onde foi o caso – tinha como fundamento a idéia (falsa, mas isso não importa aqui) de que ele trazia o final das crises capitalistas de produção e emprego, introduzia um nível de subsistência mínimo para o conjunto da população e permitiria, progressivamente, liberar excedentes que o fariam alcançar e em última instância ultrapassar os sistemas capitalistas “realmente existentes”. As idéias econômicas marxistas sobre uma futura “idade da abundância”, sobre a racionalidade superior do sistema socialista e em especial as profecias engelsianas sobre o futuro da sociedade dos trabalhadores (“de cada um segundo suas capacidades, a cada um segundo suas necessidades”) alimentaram, em muito, a ilusão comunista neste século. </w:t>
      </w:r>
      <w:r w:rsidRPr="00FE7981">
        <w:rPr>
          <w:rStyle w:val="FootnoteReference"/>
          <w:rFonts w:ascii="Times New Roman" w:hAnsi="Times New Roman"/>
        </w:rPr>
        <w:footnoteReference w:id="2"/>
      </w:r>
    </w:p>
    <w:p w:rsidR="00D173E3" w:rsidRPr="00FE7981" w:rsidRDefault="00D173E3" w:rsidP="004F72ED">
      <w:pPr>
        <w:spacing w:line="400" w:lineRule="atLeast"/>
        <w:ind w:firstLine="810"/>
        <w:rPr>
          <w:rFonts w:ascii="Times New Roman" w:hAnsi="Times New Roman"/>
        </w:rPr>
      </w:pPr>
      <w:r w:rsidRPr="00FE7981">
        <w:rPr>
          <w:rFonts w:ascii="Times New Roman" w:hAnsi="Times New Roman"/>
        </w:rPr>
        <w:lastRenderedPageBreak/>
        <w:t>Essas idéias econômicas, é dispensável dizê-lo, estão escassamente refletidas na própria obra de Marx, foram insuficientemente desenvolvidas por Engels e alguns epígonos (como Kautsky, por exemplo) e receberam um tratamento perfunctório, para não dizer irrisório e irrelevante, no trabalho intelectual de Lênin, todo ele voltado para as tarefas de organização partidária e de mobilização de vontades em prol de um projeto supostamente majoritário – bolchevique – mas de fato politicamente minoritário nas condições revolucionárias da Rússia de 1917. Poucos marxistas gostam de ver na “grande Revolução de outubro” um mero putsch bolchevique, por acaso bem sucedido em razão de circunstâncias excepcionais e depois mantido a ferro e a fogo contra seus inimigos ideológicos e seus opositores práticos.</w:t>
      </w:r>
    </w:p>
    <w:p w:rsidR="00D173E3" w:rsidRPr="00FE7981" w:rsidRDefault="00D173E3" w:rsidP="004F72ED">
      <w:pPr>
        <w:spacing w:line="400" w:lineRule="atLeast"/>
        <w:ind w:firstLine="810"/>
        <w:rPr>
          <w:rFonts w:ascii="Times New Roman" w:hAnsi="Times New Roman"/>
        </w:rPr>
      </w:pPr>
      <w:r w:rsidRPr="00FE7981">
        <w:rPr>
          <w:rFonts w:ascii="Times New Roman" w:hAnsi="Times New Roman"/>
        </w:rPr>
        <w:t xml:space="preserve">Em qualquer hipótese, as “idéias econômicas marxistas” não têm nada a ver com a explicação funcional do “sucesso prático” da idéia comunista no século XX, que pode ser considerado um fenômeno político totalmente destacado do debate de idéias tal como ocorrido no Ocidente. Com efeito, desde o final do século XIX, pelo menos, que o debate em torno das idéias marxistas e socialistas prolongava-se no terreno econômico, chegando até mesmo a influenciar o curso da economia política “burguesa”. Sem referir-se às primeiras críticas pertinentes (e não respondidas) formuladas por John Stuart Mill ao próprio Marx, caberia lembrar que Vilfredo Pareto dedicou dois alentados volumes ao estudo dos sistemas socialistas, que Hobson antecipou a análise leninista sobre a natureza econômica do imperialismo contemporâneo, que Hilferding e Rosa Luxemburgo terçaram armas em torno do capital financeiro e da acumulação capitalista, que toda uma “teoria das crises cíclicas” frequentou a produção acadêmica na economia (de Schumpeter a Keynes, de Joan Robinson e Piero Sraffa a Charles Kindleberg) e que, ainda no começo dos anos 60, economistas respeitados como John Kenneth Galbraith ou sociólogos atentos como Raymond Aron pretendiam prever uma certa convergência entre o capitalismo e o socialismo com base no fato de terem ambos os sistemas chegados a uma etapa industrial avançada. </w:t>
      </w:r>
    </w:p>
    <w:p w:rsidR="00D173E3" w:rsidRPr="00FE7981" w:rsidRDefault="00D173E3" w:rsidP="004F72ED">
      <w:pPr>
        <w:spacing w:line="400" w:lineRule="atLeast"/>
        <w:ind w:firstLine="810"/>
        <w:rPr>
          <w:rFonts w:ascii="Times New Roman" w:hAnsi="Times New Roman"/>
        </w:rPr>
      </w:pPr>
      <w:r w:rsidRPr="00FE7981">
        <w:rPr>
          <w:rFonts w:ascii="Times New Roman" w:hAnsi="Times New Roman"/>
        </w:rPr>
        <w:t xml:space="preserve">De maneira ainda mais relevante, as primeiras experiências de planificação sob a República de Weimar, a própria organização econômica “fascista”, os projetos de </w:t>
      </w:r>
      <w:r w:rsidRPr="00FE7981">
        <w:rPr>
          <w:rFonts w:ascii="Times New Roman" w:hAnsi="Times New Roman"/>
          <w:i/>
        </w:rPr>
        <w:t>welfare state</w:t>
      </w:r>
      <w:r w:rsidRPr="00FE7981">
        <w:rPr>
          <w:rFonts w:ascii="Times New Roman" w:hAnsi="Times New Roman"/>
        </w:rPr>
        <w:t xml:space="preserve"> nos países escandinavos e anglo-saxões, bem como as nacionalizações e o acentuado intervencionismo (com agências estatais dedicadas ao planejamento indicativo) conduzidos no segundo-pós guerra nos principais países capitalistas europeus, </w:t>
      </w:r>
      <w:r w:rsidRPr="00FE7981">
        <w:rPr>
          <w:rFonts w:ascii="Times New Roman" w:hAnsi="Times New Roman"/>
        </w:rPr>
        <w:lastRenderedPageBreak/>
        <w:t xml:space="preserve">podem ser considerados como o resultado direto do impacto exercido pelas idéias econômicas “comunistas” nas sociedades do Ocidente desenvolvido. Da mesma forma, a industrialização da URSS, a “solução” do problema da fome na China (contra sua suposta manutenção na Índia “capitalista”), o desenvolvimento “acelerado” dos países atrasados do Terceiro Mundo, todos esses elementos, reais ou imaginários, da “grande transformação” da segunda metade do século XX foram, com ou sem razão, creditados à alavancagem ideológica das idéias econômicas socialistas, ou pelo menos vinculados à aceitação da inevitabilidade (ou mesmo desejabilidade) de uma maior intervenção do Estado na economia, em contraposição ao menor poder transformador ou modernizador das estruturas “capitalistas” de mercado. </w:t>
      </w:r>
    </w:p>
    <w:p w:rsidR="00D173E3" w:rsidRPr="00FE7981" w:rsidRDefault="00D173E3" w:rsidP="004F72ED">
      <w:pPr>
        <w:spacing w:line="400" w:lineRule="atLeast"/>
        <w:ind w:firstLine="810"/>
        <w:rPr>
          <w:rFonts w:ascii="Times New Roman" w:hAnsi="Times New Roman"/>
        </w:rPr>
      </w:pPr>
      <w:r w:rsidRPr="00FE7981">
        <w:rPr>
          <w:rFonts w:ascii="Times New Roman" w:hAnsi="Times New Roman"/>
        </w:rPr>
        <w:t>Em outras palavras, a legitimação ideológica do comunismo se deu tanto pela via da economia como da política, em que pese o balanço francamente desfavorável desse último aspecto na confrontação com o capitalismo (mas, explicável em termos de guerra civil, de destruições “imperialistas”, de espoliação “colonial” etc), que tanto a URSS como a China ou outros países menores (Cuba, Vietnã) nunca deixaram de apresentar, mesmo em comparação com países capitalistas “subdesenvolvidos”. Os partidos comunistas dos países capitalistas europeus – em especial na Itália e na França – conseguiram reter uma certa audiência popular mesmo durante os anos de descrédito político do socialismo real com base na antiga crença de que uma “economia planificada”, ou pelo menos controlada pelo Estado, conseguiria diminuir a sucessão de “crises capitalistas”, refrear a “exploração capitalista” e introduzir um pouco mais de igualdade na repartição funcional capital-trabalho. Finalmente, em nosso próprio continente, a única justificativa – aceita de certo modo pela própria “direita” – para a ausência completa de liberdades democráticas e até mesmo de certos direitos humanos na Cuba “socialista” era o suposto avanço no plano dos indicadores sociais (saúde, educação, nutrição), continuamente agitados em face das desigualdades e mazelas sociais existentes nos demais países da região.</w:t>
      </w:r>
    </w:p>
    <w:p w:rsidR="00D173E3" w:rsidRPr="00FE7981" w:rsidRDefault="00D173E3" w:rsidP="004F72ED">
      <w:pPr>
        <w:spacing w:line="400" w:lineRule="atLeast"/>
        <w:ind w:firstLine="810"/>
        <w:rPr>
          <w:rFonts w:ascii="Times New Roman" w:hAnsi="Times New Roman"/>
        </w:rPr>
      </w:pPr>
      <w:r w:rsidRPr="00FE7981">
        <w:rPr>
          <w:rFonts w:ascii="Times New Roman" w:hAnsi="Times New Roman"/>
        </w:rPr>
        <w:t xml:space="preserve">Esse tipo de ilusão foi tão, ou mais, importante do que aquela derivada da “paixão revolucionária” que animou gerações inteiras de militantes: a afirmação da vontade na História, a invenção do homem por ele mesmo, o ódio ao burguês (alimentado não tanto por proletários verdadeiros, como por artistas e intelectuais “burgueses”), a promessa de um novo mundo de justiça social construído pela própria coletividade </w:t>
      </w:r>
      <w:r w:rsidRPr="00FE7981">
        <w:rPr>
          <w:rFonts w:ascii="Times New Roman" w:hAnsi="Times New Roman"/>
        </w:rPr>
        <w:lastRenderedPageBreak/>
        <w:t xml:space="preserve">redimida pela classe operária, a recusa do individualismo em favor da liberação de toda humanidade e não apenas de uma raça ou um povo particulares como no fascismo, tudo aquilo, enfim, que fazia o “charme universal de Outubro” e que era considerado como uma herança intelectual e como a realização prática da Revolução francesa de 1789. O charme muito pouco discreto do socialismo começou aliás a ruir a partir das revelações de Krushev no 20º congresso do PCUS, assim como nos episódios de repressão a movientos populares na Hungria e na RDA. Quanda da invasão da Tchecoslováquia pelas tropas brejnevistas, em 1968, o pouco de charme que possuía o socialismo real já tinha se esvanecido na burocracia cinzenta que formava o núcleo da </w:t>
      </w:r>
      <w:r w:rsidRPr="00FE7981">
        <w:rPr>
          <w:rFonts w:ascii="Times New Roman" w:hAnsi="Times New Roman"/>
          <w:i/>
        </w:rPr>
        <w:t>nomenklatura</w:t>
      </w:r>
      <w:r w:rsidRPr="00FE7981">
        <w:rPr>
          <w:rFonts w:ascii="Times New Roman" w:hAnsi="Times New Roman"/>
        </w:rPr>
        <w:t xml:space="preserve"> nos países do leste europeu.</w:t>
      </w:r>
    </w:p>
    <w:p w:rsidR="00D173E3" w:rsidRPr="00FE7981" w:rsidRDefault="00D173E3" w:rsidP="004F72ED">
      <w:pPr>
        <w:spacing w:line="400" w:lineRule="atLeast"/>
        <w:ind w:firstLine="810"/>
        <w:rPr>
          <w:rFonts w:ascii="Times New Roman" w:hAnsi="Times New Roman"/>
        </w:rPr>
      </w:pPr>
      <w:r w:rsidRPr="00FE7981">
        <w:rPr>
          <w:rFonts w:ascii="Times New Roman" w:hAnsi="Times New Roman"/>
        </w:rPr>
        <w:t>De certo modo, a ilusão econômica do socialismo foi a única a sobreviver à derrocada do regime político baseado no partido único e na “democracia real” (isto é, não burguesa, ou formal), este definitivamente enterrado pela superioridade filosófica, moral e empírica da idéia democrática. Se as idéias movem o mundo, as idéias econômicas com muito maior razão podem ter a pretensão de continuar a determinar o curso de nossos destinos individuais e de nossas realizações coletivas. Graças aos intelectuais marxistas, que sobrevivem em número razoável nos países da periferia capitalista, a ilusão econômica socialista (pelo menos aquela baseada no papel regulador e distribuidor do Estado) não parece perto de extinguir-se, mesmo depois de ter sido bastante maltratada por várias décadas de planejamento centralizado e de “socialismo real”. Em todo caso, para as principais potências econômicas ocidentais, o socialismo está morto e enterrado, mesmo se a idéia permanece viva nas academias e agrupamentos políticos de oposição ao “capitalismo real”.</w:t>
      </w:r>
    </w:p>
    <w:p w:rsidR="00D173E3" w:rsidRPr="00FE7981" w:rsidRDefault="00D173E3" w:rsidP="004F72ED">
      <w:pPr>
        <w:spacing w:line="400" w:lineRule="atLeast"/>
        <w:ind w:firstLine="810"/>
        <w:rPr>
          <w:rFonts w:ascii="Times New Roman" w:hAnsi="Times New Roman"/>
        </w:rPr>
      </w:pPr>
      <w:r w:rsidRPr="00FE7981">
        <w:rPr>
          <w:rFonts w:ascii="Times New Roman" w:hAnsi="Times New Roman"/>
        </w:rPr>
        <w:t xml:space="preserve">Por que isso se dá, ainda hoje, entre nós, por exemplo? Talvez porque o grande objetivo do projeto comunista não era tanto eliminar o burguês enquanto agente social – objetivo julgado relativamente fácil pelos protagonistas de Outubro e seus êmulos em outras partes – quanto construir um sistema socialista de organização social da produção em tudo oposto ao execrado regime capitalista, que se devia eliminar da face da terra. </w:t>
      </w:r>
      <w:r w:rsidRPr="00FE7981">
        <w:rPr>
          <w:rStyle w:val="FootnoteReference"/>
          <w:rFonts w:ascii="Times New Roman" w:hAnsi="Times New Roman"/>
        </w:rPr>
        <w:footnoteReference w:id="3"/>
      </w:r>
      <w:r w:rsidRPr="00FE7981">
        <w:rPr>
          <w:rFonts w:ascii="Times New Roman" w:hAnsi="Times New Roman"/>
        </w:rPr>
        <w:t xml:space="preserve"> O jacobinismo bolchevique se dirigia, obviamente, contra o “Estado burguês”, mas a </w:t>
      </w:r>
      <w:r w:rsidRPr="00FE7981">
        <w:rPr>
          <w:rFonts w:ascii="Times New Roman" w:hAnsi="Times New Roman"/>
        </w:rPr>
        <w:lastRenderedPageBreak/>
        <w:t xml:space="preserve">coletivização total dos meios de produção era o elemento essencial da construção da nova ordem socialista. Era essa a promessa contida no </w:t>
      </w:r>
      <w:r w:rsidRPr="00FE7981">
        <w:rPr>
          <w:rFonts w:ascii="Times New Roman" w:hAnsi="Times New Roman"/>
          <w:i/>
        </w:rPr>
        <w:t>Manifesto Comunista</w:t>
      </w:r>
      <w:r w:rsidRPr="00FE7981">
        <w:rPr>
          <w:rFonts w:ascii="Times New Roman" w:hAnsi="Times New Roman"/>
        </w:rPr>
        <w:t xml:space="preserve">, reafirmada no programa leninista e ainda confirmada pelo revisionismo krusheviano. </w:t>
      </w:r>
      <w:r w:rsidRPr="00FE7981">
        <w:rPr>
          <w:rStyle w:val="FootnoteReference"/>
          <w:rFonts w:ascii="Times New Roman" w:hAnsi="Times New Roman"/>
        </w:rPr>
        <w:footnoteReference w:id="4"/>
      </w:r>
      <w:r w:rsidRPr="00FE7981">
        <w:rPr>
          <w:rFonts w:ascii="Times New Roman" w:hAnsi="Times New Roman"/>
        </w:rPr>
        <w:t xml:space="preserve"> Gorbatchev, por sua vez, até o final de sua administração, quando já tinha consentido em introduzir elementos de mercado no funcionamento econômico do socialismo, também preservou sua confiança num futuro comunista, isto é, não capitalista, para a URSS. De certa forma, mesmo o ideólogo do “fim da História” não acreditava que a derrota política e filosófica do socialismo real significasse automaticamente a derrocada do modo estatal de produção e menos ainda a erosão do principal Estado socialista na história da humanidade.</w:t>
      </w:r>
    </w:p>
    <w:p w:rsidR="00D173E3" w:rsidRPr="00FE7981" w:rsidRDefault="00D173E3" w:rsidP="004F72ED">
      <w:pPr>
        <w:spacing w:line="400" w:lineRule="atLeast"/>
        <w:ind w:firstLine="810"/>
        <w:rPr>
          <w:rFonts w:ascii="Times New Roman" w:hAnsi="Times New Roman"/>
        </w:rPr>
      </w:pPr>
      <w:r w:rsidRPr="00FE7981">
        <w:rPr>
          <w:rFonts w:ascii="Times New Roman" w:hAnsi="Times New Roman"/>
        </w:rPr>
        <w:t xml:space="preserve">Um historiador marxista como Hobsbawm não deixou porém de considerar, praticamente em igualdade de condições, os elementos econômicos e políticos do mundo do “socialismo realmente existente”. A primeira coisa a ser observada a respeito da região socialista do globo, diz ele em um dos capítulo de sua história do século XX, “é que durante a maior parte de sua existência ela formou um subuniverso separado e largamente auto-suficiente tanto economicamente como politicamente. Suas relações com o resto da economia mundial, capitalista ou dominada pelo capitalismo dos países desenvolvidos, eram surpreendentemente reduzidas. Mesmo durante a fase alta do grande boom do comércio internacional nos Anos Dourados, apenas algo em torno de 4% das exportações das economias desenvolvidas de mercado iam para as ‘economias centralmente planificadas’ e, em torno dos anos 80, a parte das exportações do Terceiro Mundo dirigidas a elas não era muito maior”. </w:t>
      </w:r>
      <w:r w:rsidRPr="00FE7981">
        <w:rPr>
          <w:rStyle w:val="FootnoteReference"/>
          <w:rFonts w:ascii="Times New Roman" w:hAnsi="Times New Roman"/>
        </w:rPr>
        <w:footnoteReference w:id="5"/>
      </w:r>
      <w:r w:rsidRPr="00FE7981">
        <w:rPr>
          <w:rFonts w:ascii="Times New Roman" w:hAnsi="Times New Roman"/>
        </w:rPr>
        <w:t xml:space="preserve"> </w:t>
      </w:r>
    </w:p>
    <w:p w:rsidR="00D173E3" w:rsidRPr="00FE7981" w:rsidRDefault="00D173E3" w:rsidP="004F72ED">
      <w:pPr>
        <w:spacing w:line="400" w:lineRule="atLeast"/>
        <w:ind w:firstLine="810"/>
        <w:rPr>
          <w:rFonts w:ascii="Times New Roman" w:hAnsi="Times New Roman"/>
        </w:rPr>
      </w:pPr>
      <w:r w:rsidRPr="00FE7981">
        <w:rPr>
          <w:rFonts w:ascii="Times New Roman" w:hAnsi="Times New Roman"/>
        </w:rPr>
        <w:t xml:space="preserve">Hobsbawm reconhece que a razão fundamental da separação entre os dois campos era, sem dúvida alguma política, mas ele desenvolve em seguida uma brilhante análise da “economia política” do socialismo real, ainda que ele tenda a acreditar, mesmo retrospectivamente, nas estatísticas do socialismo estalinista, que “evidenciariam” um crescimento superior ao das economias capitalistas nos anos 30 (“acumulação primitiva socialista”) e durante uma certa fase do pós-guerra. Igualmente, ele dedica toda a primeira parte de seu capítulo sobre o “fim do socialismo” a uma análise do </w:t>
      </w:r>
      <w:r w:rsidRPr="00FE7981">
        <w:rPr>
          <w:rFonts w:ascii="Times New Roman" w:hAnsi="Times New Roman"/>
        </w:rPr>
        <w:lastRenderedPageBreak/>
        <w:t xml:space="preserve">“subdesenvolvimento econômico” (a expressão não é dele) desse regime, mesmo se, mais adiante, ele reconhece, acertadamente, que é a “política, tanto a grande como a pequena, [que] deveria acarretar o colapso Euro-soviético de 1989-1991”. </w:t>
      </w:r>
      <w:r w:rsidRPr="00FE7981">
        <w:rPr>
          <w:rStyle w:val="FootnoteReference"/>
          <w:rFonts w:ascii="Times New Roman" w:hAnsi="Times New Roman"/>
        </w:rPr>
        <w:footnoteReference w:id="6"/>
      </w:r>
    </w:p>
    <w:p w:rsidR="00D173E3" w:rsidRPr="00FE7981" w:rsidRDefault="00D173E3" w:rsidP="004F72ED">
      <w:pPr>
        <w:spacing w:line="400" w:lineRule="atLeast"/>
        <w:ind w:firstLine="810"/>
        <w:rPr>
          <w:rFonts w:ascii="Times New Roman" w:hAnsi="Times New Roman"/>
        </w:rPr>
      </w:pPr>
      <w:r w:rsidRPr="00FE7981">
        <w:rPr>
          <w:rFonts w:ascii="Times New Roman" w:hAnsi="Times New Roman"/>
        </w:rPr>
        <w:t>O que importa sublinhar aqui não é tanto o desempenho econômico efetivo dos socialismos realmente existentes – que poderia ser objeto de uma história econômica do socialismo – mas, na perspectiva da história intelectual, o “peso” das idéias econômicas na formação e manutenção da “ilusão comunista”. Uma análise de cunho marxista – ainda que sumária – da crise prolongada e da morte do socialismo não pode, porém, deixar ao largo os elementos relativamente objetivos da estagnação econômica e da inviabilidade estrutural do sistema. Mesmo se admitirmos que o socialismo foi vencido no terreno das “idéias”, deve-se ressaltar que, ainda assim e especificamente neste caso, as idéias econômicas deveriam ser consideradas como parte integrante da “ilusão comunista”, como elemento indissociável da mitologia política do socialismo de tipo soviético.</w:t>
      </w:r>
    </w:p>
    <w:p w:rsidR="00D173E3" w:rsidRPr="00FE7981" w:rsidRDefault="00D173E3" w:rsidP="004F72ED">
      <w:pPr>
        <w:spacing w:line="400" w:lineRule="atLeast"/>
        <w:ind w:left="140" w:right="200" w:firstLine="580"/>
        <w:rPr>
          <w:rFonts w:ascii="Times New Roman" w:hAnsi="Times New Roman"/>
        </w:rPr>
      </w:pPr>
    </w:p>
    <w:p w:rsidR="00D173E3" w:rsidRPr="00FE7981" w:rsidRDefault="00D173E3" w:rsidP="004F72ED">
      <w:pPr>
        <w:pStyle w:val="Heading1"/>
        <w:ind w:left="0" w:firstLine="0"/>
        <w:jc w:val="left"/>
      </w:pPr>
      <w:r w:rsidRPr="00FE7981">
        <w:t>Análise marxista da ascensão e queda do socialismo</w:t>
      </w:r>
    </w:p>
    <w:p w:rsidR="00D173E3" w:rsidRPr="00FE7981" w:rsidRDefault="00D173E3" w:rsidP="004F72ED">
      <w:pPr>
        <w:spacing w:line="400" w:lineRule="atLeast"/>
        <w:ind w:firstLine="810"/>
        <w:rPr>
          <w:rFonts w:ascii="Times New Roman" w:hAnsi="Times New Roman"/>
        </w:rPr>
      </w:pPr>
      <w:r w:rsidRPr="00FE7981">
        <w:rPr>
          <w:rFonts w:ascii="Times New Roman" w:hAnsi="Times New Roman"/>
        </w:rPr>
        <w:t xml:space="preserve">Sem pretender fazer ironias com a História, caberia observar que a crise e a </w:t>
      </w:r>
      <w:r w:rsidRPr="00FE7981">
        <w:rPr>
          <w:rFonts w:ascii="Times New Roman" w:hAnsi="Times New Roman"/>
          <w:i/>
        </w:rPr>
        <w:t>débâcle</w:t>
      </w:r>
      <w:r w:rsidRPr="00FE7981">
        <w:rPr>
          <w:rFonts w:ascii="Times New Roman" w:hAnsi="Times New Roman"/>
        </w:rPr>
        <w:t xml:space="preserve"> do socialismo podem ser interpretadas inteiramente em termos das idéias marxistas, </w:t>
      </w:r>
      <w:r w:rsidRPr="00FE7981">
        <w:rPr>
          <w:rFonts w:ascii="Times New Roman" w:hAnsi="Times New Roman"/>
          <w:i/>
        </w:rPr>
        <w:t>a fortiori</w:t>
      </w:r>
      <w:r w:rsidRPr="00FE7981">
        <w:rPr>
          <w:rFonts w:ascii="Times New Roman" w:hAnsi="Times New Roman"/>
        </w:rPr>
        <w:t xml:space="preserve"> para um adepto da doutrina como o que escreve este ensaio. Com efeito, ninguém melhor do que Marx – cujos escritos sobre os processos revolucionários constituem ainda hoje autoridade histórica – sabia colocar com clareza, ainda que de forma profética, o inexorável desenrolar do processo histórico e social. Como ele escreveu no Prefácio à </w:t>
      </w:r>
      <w:r w:rsidRPr="00FE7981">
        <w:rPr>
          <w:rFonts w:ascii="Times New Roman" w:hAnsi="Times New Roman"/>
          <w:i/>
        </w:rPr>
        <w:t>Crítica da Economia Política</w:t>
      </w:r>
      <w:r w:rsidRPr="00FE7981">
        <w:rPr>
          <w:rFonts w:ascii="Times New Roman" w:hAnsi="Times New Roman"/>
        </w:rPr>
        <w:t xml:space="preserve"> (1859), “numa certa etapa de seu desenvolvimento, as forças produtivas de uma sociedade entram em contradição com as </w:t>
      </w:r>
      <w:r w:rsidRPr="00FE7981">
        <w:rPr>
          <w:rFonts w:ascii="Times New Roman" w:hAnsi="Times New Roman"/>
          <w:i/>
        </w:rPr>
        <w:t>relações de produção</w:t>
      </w:r>
      <w:r w:rsidRPr="00FE7981">
        <w:rPr>
          <w:rFonts w:ascii="Times New Roman" w:hAnsi="Times New Roman"/>
        </w:rPr>
        <w:t xml:space="preserve"> existentes, ou, o que é apenas sua expressão jurídica, com as </w:t>
      </w:r>
      <w:r w:rsidRPr="00FE7981">
        <w:rPr>
          <w:rFonts w:ascii="Times New Roman" w:hAnsi="Times New Roman"/>
          <w:i/>
        </w:rPr>
        <w:t>relações de propriedade</w:t>
      </w:r>
      <w:r w:rsidRPr="00FE7981">
        <w:rPr>
          <w:rFonts w:ascii="Times New Roman" w:hAnsi="Times New Roman"/>
        </w:rPr>
        <w:t xml:space="preserve"> no seio das quais elas se tinham desenvolvidos até então. De formas de desenvolvimento das forças produtivas, essas relações [de produção] se tornam seus próprios </w:t>
      </w:r>
      <w:r w:rsidRPr="00FE7981">
        <w:rPr>
          <w:rFonts w:ascii="Times New Roman" w:hAnsi="Times New Roman"/>
          <w:i/>
        </w:rPr>
        <w:t>entraves</w:t>
      </w:r>
      <w:r w:rsidRPr="00FE7981">
        <w:rPr>
          <w:rFonts w:ascii="Times New Roman" w:hAnsi="Times New Roman"/>
        </w:rPr>
        <w:t xml:space="preserve">. Abre-se então uma época de </w:t>
      </w:r>
      <w:r w:rsidRPr="00FE7981">
        <w:rPr>
          <w:rFonts w:ascii="Times New Roman" w:hAnsi="Times New Roman"/>
          <w:i/>
        </w:rPr>
        <w:t>revolução social</w:t>
      </w:r>
      <w:r w:rsidRPr="00FE7981">
        <w:rPr>
          <w:rFonts w:ascii="Times New Roman" w:hAnsi="Times New Roman"/>
        </w:rPr>
        <w:t xml:space="preserve">. A transformação na base econômica altera mais ou menos rapidamente toda a enorme superestrutura”. </w:t>
      </w:r>
      <w:r w:rsidRPr="00FE7981">
        <w:rPr>
          <w:rStyle w:val="FootnoteReference"/>
          <w:rFonts w:ascii="Times New Roman" w:hAnsi="Times New Roman"/>
        </w:rPr>
        <w:footnoteReference w:id="7"/>
      </w:r>
    </w:p>
    <w:p w:rsidR="00D173E3" w:rsidRPr="00FE7981" w:rsidRDefault="00D173E3" w:rsidP="004F72ED">
      <w:pPr>
        <w:spacing w:line="400" w:lineRule="atLeast"/>
        <w:ind w:firstLine="810"/>
        <w:rPr>
          <w:rFonts w:ascii="Times New Roman" w:hAnsi="Times New Roman"/>
        </w:rPr>
      </w:pPr>
      <w:r w:rsidRPr="00FE7981">
        <w:rPr>
          <w:rFonts w:ascii="Times New Roman" w:hAnsi="Times New Roman"/>
        </w:rPr>
        <w:lastRenderedPageBreak/>
        <w:t xml:space="preserve">Essa época de revolução social abriu-se para o socialismo de tipo soviético a partir do final dos anos 70, muito embora suas sementes existissem desde muito tempo antes. As razões dessa transformação, que pode ser inteiramente explicada em termos “marxistas”, foram as mesmas que, no passado, levaram ao declínio do feudalismo como “modo de produção”: as relações “socialistas” de produção se tinham inegavelmente convertido num formidável entrave ao desenvolvimento das forças produtivas e ao avanço das condições econômicas de produção. Qualquer marxista não comprometido com os esquemas de poder existentes na área soviética poderia reconhecer que a forma “socialista” da propriedade representava, em nível estrutural, um enorme obstáculo ao avanço contínuo do processo de produção social. </w:t>
      </w:r>
      <w:r w:rsidRPr="00FE7981">
        <w:rPr>
          <w:rStyle w:val="FootnoteReference"/>
          <w:rFonts w:ascii="Times New Roman" w:hAnsi="Times New Roman"/>
        </w:rPr>
        <w:footnoteReference w:id="8"/>
      </w:r>
    </w:p>
    <w:p w:rsidR="00D173E3" w:rsidRPr="00FE7981" w:rsidRDefault="00D173E3" w:rsidP="004F72ED">
      <w:pPr>
        <w:spacing w:line="400" w:lineRule="atLeast"/>
        <w:ind w:firstLine="810"/>
        <w:rPr>
          <w:rFonts w:ascii="Times New Roman" w:hAnsi="Times New Roman"/>
        </w:rPr>
      </w:pPr>
      <w:r w:rsidRPr="00FE7981">
        <w:rPr>
          <w:rFonts w:ascii="Times New Roman" w:hAnsi="Times New Roman"/>
        </w:rPr>
        <w:t xml:space="preserve">De fato, as </w:t>
      </w:r>
      <w:r w:rsidRPr="00FE7981">
        <w:rPr>
          <w:rFonts w:ascii="Times New Roman" w:hAnsi="Times New Roman"/>
          <w:i/>
        </w:rPr>
        <w:t>relações socialistas de produção</w:t>
      </w:r>
      <w:r w:rsidRPr="00FE7981">
        <w:rPr>
          <w:rFonts w:ascii="Times New Roman" w:hAnsi="Times New Roman"/>
        </w:rPr>
        <w:t xml:space="preserve"> sempre foram uma </w:t>
      </w:r>
      <w:r w:rsidRPr="00FE7981">
        <w:rPr>
          <w:rFonts w:ascii="Times New Roman" w:hAnsi="Times New Roman"/>
          <w:i/>
        </w:rPr>
        <w:t>forma contraditória de organização social da produção</w:t>
      </w:r>
      <w:r w:rsidRPr="00FE7981">
        <w:rPr>
          <w:rFonts w:ascii="Times New Roman" w:hAnsi="Times New Roman"/>
        </w:rPr>
        <w:t xml:space="preserve">, uma vez que, segundo a própria teleologia marxista, a sociedade burguesa não poderia desaparecer – e assim dar lugar ao socialismo </w:t>
      </w:r>
      <w:r w:rsidRPr="00FE7981">
        <w:rPr>
          <w:rFonts w:ascii="Times New Roman" w:hAnsi="Times New Roman"/>
          <w:b/>
        </w:rPr>
        <w:t xml:space="preserve">– </w:t>
      </w:r>
      <w:r w:rsidRPr="00FE7981">
        <w:rPr>
          <w:rFonts w:ascii="Times New Roman" w:hAnsi="Times New Roman"/>
        </w:rPr>
        <w:t xml:space="preserve">sem que ela pudesse antes desenvolver todas as suas potencialidades intrínsecas em termos de forças produtivas. Mas, uma vez implementadas essas relações socialistas de produção – de maneira mais ou menos improvisada no seguimento da revolução bolchevista –, elas sempre representaram (no vocabulário do próprio Marx) “uma </w:t>
      </w:r>
      <w:r w:rsidRPr="00FE7981">
        <w:rPr>
          <w:rFonts w:ascii="Times New Roman" w:hAnsi="Times New Roman"/>
          <w:i/>
        </w:rPr>
        <w:t>forma antagônica</w:t>
      </w:r>
      <w:r w:rsidRPr="00FE7981">
        <w:rPr>
          <w:rFonts w:ascii="Times New Roman" w:hAnsi="Times New Roman"/>
        </w:rPr>
        <w:t xml:space="preserve"> do processo de produção social, não no sentido de um antagonismo individual, mas de um antagonismo que nasce das condições sociais de existência dos indivíduos”. </w:t>
      </w:r>
      <w:r w:rsidRPr="00FE7981">
        <w:rPr>
          <w:rStyle w:val="FootnoteReference"/>
          <w:rFonts w:ascii="Times New Roman" w:hAnsi="Times New Roman"/>
        </w:rPr>
        <w:footnoteReference w:id="9"/>
      </w:r>
    </w:p>
    <w:p w:rsidR="00D173E3" w:rsidRPr="00FE7981" w:rsidRDefault="00D173E3" w:rsidP="004F72ED">
      <w:pPr>
        <w:spacing w:line="400" w:lineRule="atLeast"/>
        <w:ind w:firstLine="810"/>
        <w:rPr>
          <w:rFonts w:ascii="Times New Roman" w:hAnsi="Times New Roman"/>
        </w:rPr>
      </w:pPr>
      <w:r w:rsidRPr="00FE7981">
        <w:rPr>
          <w:rFonts w:ascii="Times New Roman" w:hAnsi="Times New Roman"/>
        </w:rPr>
        <w:t xml:space="preserve">Segundo os próprios termos da análise histórica marxista, seria portanto inevitável esperar o deslanchar de uma etapa revolucionária no desenvolvimento do </w:t>
      </w:r>
      <w:r w:rsidRPr="00FE7981">
        <w:rPr>
          <w:rFonts w:ascii="Times New Roman" w:hAnsi="Times New Roman"/>
        </w:rPr>
        <w:lastRenderedPageBreak/>
        <w:t xml:space="preserve">socialismo, uma vez que a deterioração da base econômica do sistema, já visível desde o final da estagnação “brejnevista”, estava conduzindo a um impasse, ele mesmo anunciador de uma mudança radical em toda a superestrutura jurídica e política da sociedade socialista. Era assim muito provável que, ao iniciar seu período de “reformismo esclarecido”, Gorbachov tenha chegado à conclusão que a base técnica do sistema socialista, enquanto forma de organização social da produção, fosse essencialmente conservadora, uma vez que, ao contrário do sistema capitalista, não possuia em si mesma os impulsos para uma contínua transformação das condições de produção. </w:t>
      </w:r>
    </w:p>
    <w:p w:rsidR="00D173E3" w:rsidRPr="00FE7981" w:rsidRDefault="00D173E3" w:rsidP="004F72ED">
      <w:pPr>
        <w:spacing w:line="400" w:lineRule="atLeast"/>
        <w:ind w:firstLine="810"/>
        <w:rPr>
          <w:rFonts w:ascii="Times New Roman" w:hAnsi="Times New Roman"/>
        </w:rPr>
      </w:pPr>
      <w:r w:rsidRPr="00FE7981">
        <w:rPr>
          <w:rFonts w:ascii="Times New Roman" w:hAnsi="Times New Roman"/>
        </w:rPr>
        <w:t xml:space="preserve">Gorbachov, aparentemente em bom marxista, admitiu-o abertamente: antes mesmo de assumir a liderança do PCUS, em dezembro de 1984, ele advertia que a injustificada preservação de “elementos obsoletos nas </w:t>
      </w:r>
      <w:r w:rsidRPr="00FE7981">
        <w:rPr>
          <w:rFonts w:ascii="Times New Roman" w:hAnsi="Times New Roman"/>
          <w:i/>
        </w:rPr>
        <w:t>relações de produção</w:t>
      </w:r>
      <w:r w:rsidRPr="00FE7981">
        <w:rPr>
          <w:rFonts w:ascii="Times New Roman" w:hAnsi="Times New Roman"/>
        </w:rPr>
        <w:t xml:space="preserve"> pode ocasionar uma deterioração da situação econômica e social”. Em junho de 1985, já como Secretário-Geral do PCUS, ele declarava que “a aceleração do progresso científico e técnico requeria insistentemente uma </w:t>
      </w:r>
      <w:r w:rsidRPr="00FE7981">
        <w:rPr>
          <w:rFonts w:ascii="Times New Roman" w:hAnsi="Times New Roman"/>
          <w:i/>
        </w:rPr>
        <w:t>profunda reorganização</w:t>
      </w:r>
      <w:r w:rsidRPr="00FE7981">
        <w:rPr>
          <w:rFonts w:ascii="Times New Roman" w:hAnsi="Times New Roman"/>
        </w:rPr>
        <w:t xml:space="preserve"> do sistema de planejamento e de administração do </w:t>
      </w:r>
      <w:r w:rsidRPr="00FE7981">
        <w:rPr>
          <w:rFonts w:ascii="Times New Roman" w:hAnsi="Times New Roman"/>
          <w:i/>
        </w:rPr>
        <w:t>mecanismo econômico em sua totalidade</w:t>
      </w:r>
      <w:r w:rsidRPr="00FE7981">
        <w:rPr>
          <w:rFonts w:ascii="Times New Roman" w:hAnsi="Times New Roman"/>
        </w:rPr>
        <w:t xml:space="preserve">”. </w:t>
      </w:r>
      <w:r w:rsidRPr="00FE7981">
        <w:rPr>
          <w:rStyle w:val="FootnoteReference"/>
          <w:rFonts w:ascii="Times New Roman" w:hAnsi="Times New Roman"/>
        </w:rPr>
        <w:footnoteReference w:id="10"/>
      </w:r>
      <w:r w:rsidRPr="00FE7981">
        <w:rPr>
          <w:rFonts w:ascii="Times New Roman" w:hAnsi="Times New Roman"/>
        </w:rPr>
        <w:t xml:space="preserve"> O que Gorbachov pretendia implementar era uma espécie de NEP da era eletrônica, algo bem mais complicado, deve-se reconhecer, que as banalidades conceituais em torno do modelo leninista de comunismo, descrito como sendo o “socialismo mais a eletricidade”. </w:t>
      </w:r>
    </w:p>
    <w:p w:rsidR="00D173E3" w:rsidRPr="00FE7981" w:rsidRDefault="00D173E3" w:rsidP="004F72ED">
      <w:pPr>
        <w:spacing w:line="400" w:lineRule="atLeast"/>
        <w:ind w:firstLine="810"/>
        <w:rPr>
          <w:rFonts w:ascii="Times New Roman" w:hAnsi="Times New Roman"/>
        </w:rPr>
      </w:pPr>
      <w:r w:rsidRPr="00FE7981">
        <w:rPr>
          <w:rFonts w:ascii="Times New Roman" w:hAnsi="Times New Roman"/>
        </w:rPr>
        <w:t xml:space="preserve">Não havia, contudo, fórmula milagrosa capaz de fazer aquele socialismo tomar o ”carro da História” a partir das relações de produção existentes: não só a “base técnica” do socialismo estatal, nos termos de Marx, era essenciamente </w:t>
      </w:r>
      <w:r w:rsidRPr="00FE7981">
        <w:rPr>
          <w:rFonts w:ascii="Times New Roman" w:hAnsi="Times New Roman"/>
          <w:i/>
        </w:rPr>
        <w:t>conservadora</w:t>
      </w:r>
      <w:r w:rsidRPr="00FE7981">
        <w:rPr>
          <w:rFonts w:ascii="Times New Roman" w:hAnsi="Times New Roman"/>
        </w:rPr>
        <w:t xml:space="preserve">, como também sua base social e política era profundamente </w:t>
      </w:r>
      <w:r w:rsidRPr="00FE7981">
        <w:rPr>
          <w:rFonts w:ascii="Times New Roman" w:hAnsi="Times New Roman"/>
          <w:i/>
        </w:rPr>
        <w:t>reacionária</w:t>
      </w:r>
      <w:r w:rsidRPr="00FE7981">
        <w:rPr>
          <w:rFonts w:ascii="Times New Roman" w:hAnsi="Times New Roman"/>
        </w:rPr>
        <w:t xml:space="preserve">. A União Soviética parecia representar para Gorbachov o que a Alemanha guilhermina representava para Marx no século passado: um país atrasado e dividido que tinha necessariamente de passar por uma </w:t>
      </w:r>
      <w:r w:rsidRPr="00FE7981">
        <w:rPr>
          <w:rFonts w:ascii="Times New Roman" w:hAnsi="Times New Roman"/>
          <w:i/>
        </w:rPr>
        <w:t>revolução política radical</w:t>
      </w:r>
      <w:r w:rsidRPr="00FE7981">
        <w:rPr>
          <w:rFonts w:ascii="Times New Roman" w:hAnsi="Times New Roman"/>
        </w:rPr>
        <w:t xml:space="preserve"> para quebrar os grilhões que impediam sua modernização econômica e social.</w:t>
      </w:r>
    </w:p>
    <w:p w:rsidR="00D173E3" w:rsidRPr="00FE7981" w:rsidRDefault="00D173E3" w:rsidP="004F72ED">
      <w:pPr>
        <w:spacing w:line="400" w:lineRule="atLeast"/>
        <w:ind w:firstLine="810"/>
        <w:rPr>
          <w:rFonts w:ascii="Times New Roman" w:hAnsi="Times New Roman"/>
        </w:rPr>
      </w:pPr>
      <w:r w:rsidRPr="00FE7981">
        <w:rPr>
          <w:rFonts w:ascii="Times New Roman" w:hAnsi="Times New Roman"/>
        </w:rPr>
        <w:t xml:space="preserve">Fazendo uma grosseira analogia histórica, poder-se-ia dizer que as relações socialistas de produção e a classe burocrática associada ao Partido Comunista representavam, na maior parte dos países da área soviética, o mesmo papel que o sistema </w:t>
      </w:r>
      <w:r w:rsidRPr="00FE7981">
        <w:rPr>
          <w:rFonts w:ascii="Times New Roman" w:hAnsi="Times New Roman"/>
        </w:rPr>
        <w:lastRenderedPageBreak/>
        <w:t xml:space="preserve">corporativo e a classe aristocrática desempenhavam no </w:t>
      </w:r>
      <w:r w:rsidRPr="00FE7981">
        <w:rPr>
          <w:rFonts w:ascii="Times New Roman" w:hAnsi="Times New Roman"/>
          <w:i/>
        </w:rPr>
        <w:t>ancien régime</w:t>
      </w:r>
      <w:r w:rsidRPr="00FE7981">
        <w:rPr>
          <w:rFonts w:ascii="Times New Roman" w:hAnsi="Times New Roman"/>
        </w:rPr>
        <w:t xml:space="preserve"> de tipo feudal: um obstáculo intransponível ao desenvolvimento das forças produtivas materiais e um entrave formidável ao progresso político da sociedade. Como afirmaram Marx e Engels no </w:t>
      </w:r>
      <w:r w:rsidRPr="00FE7981">
        <w:rPr>
          <w:rFonts w:ascii="Times New Roman" w:hAnsi="Times New Roman"/>
          <w:i/>
        </w:rPr>
        <w:t>Manifesto Comunista</w:t>
      </w:r>
      <w:r w:rsidRPr="00FE7981">
        <w:rPr>
          <w:rFonts w:ascii="Times New Roman" w:hAnsi="Times New Roman"/>
        </w:rPr>
        <w:t xml:space="preserve">: “numa certa etapa do desenvolvimento dos meios de produção e de troca... as relações feudais de propriedade deixaram de corresponder às forças produtivas em pleno crescimento. Elas entravavam a produção em lugar de fazê-la avançar. Elas se transformaram em grilhões. Esses grilhões tinham de ser quebrados: eles foram quebrados”. </w:t>
      </w:r>
      <w:r w:rsidRPr="00FE7981">
        <w:rPr>
          <w:rStyle w:val="FootnoteReference"/>
          <w:rFonts w:ascii="Times New Roman" w:hAnsi="Times New Roman"/>
        </w:rPr>
        <w:footnoteReference w:id="11"/>
      </w:r>
      <w:r w:rsidRPr="00FE7981">
        <w:rPr>
          <w:rFonts w:ascii="Times New Roman" w:hAnsi="Times New Roman"/>
        </w:rPr>
        <w:t xml:space="preserve"> </w:t>
      </w:r>
    </w:p>
    <w:p w:rsidR="00D173E3" w:rsidRPr="00FE7981" w:rsidRDefault="00D173E3" w:rsidP="004F72ED">
      <w:pPr>
        <w:spacing w:line="400" w:lineRule="atLeast"/>
        <w:ind w:firstLine="810"/>
        <w:rPr>
          <w:rFonts w:ascii="Times New Roman" w:hAnsi="Times New Roman"/>
        </w:rPr>
      </w:pPr>
      <w:r w:rsidRPr="00FE7981">
        <w:rPr>
          <w:rFonts w:ascii="Times New Roman" w:hAnsi="Times New Roman"/>
        </w:rPr>
        <w:t xml:space="preserve">No que concerne as relações socialistas de propriedade, esses grilhões foram efetivamente rompidos nos países da antiga área soviética, muito embora o processo de construção da nova ordem foi lento a ser implementado, em especial na própria pátria do socialismo real. Em suas manifestações e desenvolvimento, o processo de ruptura com o </w:t>
      </w:r>
      <w:r w:rsidRPr="00FE7981">
        <w:rPr>
          <w:rFonts w:ascii="Times New Roman" w:hAnsi="Times New Roman"/>
          <w:i/>
        </w:rPr>
        <w:t>ancien régime</w:t>
      </w:r>
      <w:r w:rsidRPr="00FE7981">
        <w:rPr>
          <w:rFonts w:ascii="Times New Roman" w:hAnsi="Times New Roman"/>
        </w:rPr>
        <w:t xml:space="preserve"> foi, evidentemente, político, e não poderia deixar de ser exclusivamente político, como observaram acertadamente Furet e Hobsbawm. </w:t>
      </w:r>
      <w:r w:rsidRPr="00FE7981">
        <w:rPr>
          <w:rStyle w:val="FootnoteReference"/>
          <w:rFonts w:ascii="Times New Roman" w:hAnsi="Times New Roman"/>
        </w:rPr>
        <w:footnoteReference w:id="12"/>
      </w:r>
      <w:r w:rsidRPr="00FE7981">
        <w:rPr>
          <w:rFonts w:ascii="Times New Roman" w:hAnsi="Times New Roman"/>
        </w:rPr>
        <w:t xml:space="preserve"> Mas, as razões profundas da crise e derrocada do sistema foram essencialmente marxistas, isto é, econômicas. </w:t>
      </w:r>
    </w:p>
    <w:p w:rsidR="00D173E3" w:rsidRPr="00FE7981" w:rsidRDefault="00D173E3" w:rsidP="004F72ED">
      <w:pPr>
        <w:spacing w:line="400" w:lineRule="atLeast"/>
        <w:ind w:firstLine="810"/>
        <w:rPr>
          <w:rFonts w:ascii="Times New Roman" w:hAnsi="Times New Roman"/>
        </w:rPr>
      </w:pPr>
      <w:r w:rsidRPr="00FE7981">
        <w:rPr>
          <w:rFonts w:ascii="Times New Roman" w:hAnsi="Times New Roman"/>
        </w:rPr>
        <w:t xml:space="preserve">O ponto de não retorno, escreve ironicamente Hobsbawm, foi atingido na segunda metade de 1989, bicentenário do deslanchar da Revolução francesa, “cuja não existência ou irrelevância para a política do século XX, os historiadores franceses ‘revisionistas’ estavam ocupados em tentar demonstrar naquele momento. A ruptura política seguiu-se (como na França do século XVIII) à convocação de novas assembléias democráticas, ou passavelmente democráticas, no verão daquele ano. A ruptura </w:t>
      </w:r>
      <w:r w:rsidRPr="00FE7981">
        <w:rPr>
          <w:rFonts w:ascii="Times New Roman" w:hAnsi="Times New Roman"/>
        </w:rPr>
        <w:lastRenderedPageBreak/>
        <w:t xml:space="preserve">econômica tornou-se irreversível no decorrer de alguns poucos meses cruciais entre outubro de 1989 e maio de 1990”. </w:t>
      </w:r>
      <w:r w:rsidRPr="00FE7981">
        <w:rPr>
          <w:rStyle w:val="FootnoteReference"/>
          <w:rFonts w:ascii="Times New Roman" w:hAnsi="Times New Roman"/>
        </w:rPr>
        <w:footnoteReference w:id="13"/>
      </w:r>
    </w:p>
    <w:p w:rsidR="00D173E3" w:rsidRPr="00FE7981" w:rsidRDefault="00D173E3" w:rsidP="004F72ED">
      <w:pPr>
        <w:spacing w:line="400" w:lineRule="atLeast"/>
        <w:ind w:firstLine="810"/>
        <w:rPr>
          <w:rFonts w:ascii="Times New Roman" w:hAnsi="Times New Roman"/>
        </w:rPr>
      </w:pPr>
      <w:r w:rsidRPr="00FE7981">
        <w:rPr>
          <w:rFonts w:ascii="Times New Roman" w:hAnsi="Times New Roman"/>
        </w:rPr>
        <w:t xml:space="preserve">Assim, se a crise política era evidente nos antigos países do socialismo real, foram razões estruturais de natureza essencialmente, senão inteiramente, econômica que levaram à crise fundamental, à sua fratura irremediável e à queda final do sistema. Um pouco de materialismo histórico, por uma vez, não pode fazer mal à causa do socialismo, ou pelo menos à da análise histórica de sua derrocada final. </w:t>
      </w:r>
    </w:p>
    <w:p w:rsidR="00D173E3" w:rsidRPr="00FE7981" w:rsidRDefault="00D173E3" w:rsidP="004F72ED">
      <w:pPr>
        <w:spacing w:line="400" w:lineRule="atLeast"/>
        <w:ind w:firstLine="810"/>
        <w:rPr>
          <w:rFonts w:ascii="Times New Roman" w:hAnsi="Times New Roman"/>
        </w:rPr>
      </w:pPr>
      <w:r w:rsidRPr="00FE7981">
        <w:rPr>
          <w:rFonts w:ascii="Times New Roman" w:hAnsi="Times New Roman"/>
        </w:rPr>
        <w:t>A base econômica explica, ainda desta vez, a transição de um modo de produção a um outro. Para chegar a um verdadeiro sistema econômico de mercado, na antiga zona soviética, só faltava atravessar o que Marx chamava de purgatório capitalista. Esse purgatório foi atravessado num longo ciclo de depressão econômica ao longo da última década do século XX, o que foi reconhecido no decreto burocrático do dia 6 de junho de 2002. O comunismo chegou efetivamente ao final de sua longa parábola histórica: ele terá constituído, finalmente, uma longa etapa de transição que levou do capitalismo ao... capitalismo.</w:t>
      </w:r>
    </w:p>
    <w:p w:rsidR="00D173E3" w:rsidRPr="00FE7981" w:rsidRDefault="00D173E3" w:rsidP="004F72ED">
      <w:pPr>
        <w:pStyle w:val="NormalWeb"/>
        <w:spacing w:before="0" w:beforeAutospacing="0" w:after="0" w:afterAutospacing="0" w:line="360" w:lineRule="auto"/>
        <w:ind w:firstLine="720"/>
        <w:rPr>
          <w:lang w:val="pt-BR"/>
        </w:rPr>
      </w:pPr>
    </w:p>
    <w:p w:rsidR="00D173E3" w:rsidRPr="00FE7981" w:rsidRDefault="00D173E3" w:rsidP="004F72ED">
      <w:pPr>
        <w:pStyle w:val="NormalWeb"/>
        <w:spacing w:before="0" w:beforeAutospacing="0" w:after="0" w:afterAutospacing="0"/>
        <w:ind w:left="630" w:hanging="630"/>
        <w:rPr>
          <w:rFonts w:eastAsia="Times"/>
          <w:lang w:val="pt-BR"/>
        </w:rPr>
      </w:pPr>
      <w:r w:rsidRPr="00FE7981">
        <w:rPr>
          <w:rFonts w:eastAsia="Times"/>
          <w:b/>
          <w:lang w:val="pt-BR"/>
        </w:rPr>
        <w:t>Post scriptum:</w:t>
      </w:r>
      <w:r w:rsidRPr="00FE7981">
        <w:rPr>
          <w:rFonts w:eastAsia="Times"/>
          <w:lang w:val="pt-BR"/>
        </w:rPr>
        <w:t xml:space="preserve"> </w:t>
      </w:r>
      <w:r w:rsidRPr="00FE7981">
        <w:rPr>
          <w:lang w:val="pt-BR"/>
        </w:rPr>
        <w:t xml:space="preserve">Após o término deste ensaio, ocorreu a reunião do G-7/G-8 em Kananaskis, no Canadá, durante a qual  Rússia foi contemplada com um assento permanente no que passa agora – até a próxima incorporação – a ser conhecido simplesmente como G-8, o que confirma, de certo modo, a plena integração da ex-economia socialista no pelotão de “países normais”, no caso membro do “diretório mundial dos mais iguais”. Parece óbvio, também, que a Rússia, ainda incapaz de participar dos esquemas de sustentação financeira promovidos pelo Grupo e benefici ária ela mesma de ajuda maciça desses países (para liberar-se de estoques de armas de destruição em massa, por exemplo) ainda tem de demonstrar várias outras transformações econômicas e políticas para se credenciar plenamente como país avançado de “economia de mercado” e democrático – como a aceitação na </w:t>
      </w:r>
      <w:r w:rsidRPr="00FE7981">
        <w:rPr>
          <w:lang w:val="pt-BR"/>
        </w:rPr>
        <w:lastRenderedPageBreak/>
        <w:t>OMC e na OCDE – mas a decisão tomada pelo G-7 em Kananaskis apenas confirma o caráter finalmente capitalista da primeira potência européia (e asiática).</w:t>
      </w:r>
    </w:p>
    <w:p w:rsidR="00D173E3" w:rsidRPr="00FE7981" w:rsidRDefault="00D173E3" w:rsidP="004F72ED">
      <w:pPr>
        <w:pStyle w:val="NormalWeb"/>
        <w:spacing w:before="0" w:beforeAutospacing="0" w:after="0" w:afterAutospacing="0" w:line="360" w:lineRule="auto"/>
        <w:rPr>
          <w:rFonts w:eastAsia="Times"/>
          <w:lang w:val="pt-BR"/>
        </w:rPr>
      </w:pPr>
    </w:p>
    <w:p w:rsidR="00D173E3" w:rsidRPr="00FE7981" w:rsidRDefault="00D173E3" w:rsidP="004F72ED">
      <w:pPr>
        <w:pStyle w:val="NormalWeb"/>
        <w:spacing w:before="0" w:beforeAutospacing="0" w:after="0" w:afterAutospacing="0" w:line="360" w:lineRule="auto"/>
        <w:rPr>
          <w:rFonts w:eastAsia="Times"/>
          <w:lang w:val="pt-BR"/>
        </w:rPr>
      </w:pPr>
    </w:p>
    <w:p w:rsidR="00D173E3" w:rsidRPr="00FE7981" w:rsidRDefault="00D173E3" w:rsidP="004F72ED">
      <w:pPr>
        <w:rPr>
          <w:rFonts w:ascii="Times New Roman" w:hAnsi="Times New Roman"/>
        </w:rPr>
      </w:pPr>
      <w:r w:rsidRPr="00FE7981">
        <w:rPr>
          <w:rFonts w:ascii="Times New Roman" w:hAnsi="Times New Roman"/>
        </w:rPr>
        <w:t>Paulo Roberto de Almeida</w:t>
      </w:r>
    </w:p>
    <w:p w:rsidR="00D173E3" w:rsidRPr="00FE7981" w:rsidRDefault="00D173E3" w:rsidP="004F72ED">
      <w:pPr>
        <w:rPr>
          <w:rFonts w:ascii="Times New Roman" w:hAnsi="Times New Roman"/>
        </w:rPr>
      </w:pPr>
      <w:hyperlink r:id="rId9" w:history="1">
        <w:r w:rsidRPr="00FE7981">
          <w:rPr>
            <w:rStyle w:val="Hyperlink"/>
            <w:rFonts w:ascii="Times New Roman" w:hAnsi="Times New Roman"/>
          </w:rPr>
          <w:t>www.pralmeida.org</w:t>
        </w:r>
      </w:hyperlink>
    </w:p>
    <w:p w:rsidR="00D173E3" w:rsidRPr="00FE7981" w:rsidRDefault="00D173E3" w:rsidP="004F72ED">
      <w:pPr>
        <w:rPr>
          <w:rFonts w:ascii="Times New Roman" w:hAnsi="Times New Roman"/>
        </w:rPr>
      </w:pPr>
      <w:r w:rsidRPr="00FE7981">
        <w:rPr>
          <w:rFonts w:ascii="Times New Roman" w:hAnsi="Times New Roman"/>
        </w:rPr>
        <w:t>Washington: 907, 12.06.02; rev.: 01.07.02</w:t>
      </w:r>
    </w:p>
    <w:p w:rsidR="00D173E3" w:rsidRPr="00FE7981" w:rsidRDefault="00D173E3" w:rsidP="004F72ED">
      <w:pPr>
        <w:rPr>
          <w:rFonts w:ascii="Times New Roman" w:hAnsi="Times New Roman"/>
        </w:rPr>
      </w:pPr>
    </w:p>
    <w:sectPr w:rsidR="00D173E3" w:rsidRPr="00FE7981">
      <w:footerReference w:type="even" r:id="rId10"/>
      <w:footerReference w:type="defaul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13C" w:rsidRDefault="00EC613C">
      <w:r>
        <w:separator/>
      </w:r>
    </w:p>
  </w:endnote>
  <w:endnote w:type="continuationSeparator" w:id="0">
    <w:p w:rsidR="00EC613C" w:rsidRDefault="00EC6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Lucida Console">
    <w:panose1 w:val="020B0609040504020204"/>
    <w:charset w:val="00"/>
    <w:family w:val="auto"/>
    <w:pitch w:val="variable"/>
    <w:sig w:usb0="8000028F" w:usb1="00001800" w:usb2="00000000" w:usb3="00000000" w:csb0="0000001F" w:csb1="00000000"/>
  </w:font>
  <w:font w:name="Geneva">
    <w:panose1 w:val="020B0503030404040204"/>
    <w:charset w:val="00"/>
    <w:family w:val="auto"/>
    <w:pitch w:val="variable"/>
    <w:sig w:usb0="E00002FF" w:usb1="5200205F" w:usb2="00A0C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3E3" w:rsidRDefault="00D173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73E3" w:rsidRDefault="00D173E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3E3" w:rsidRDefault="00D173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06269">
      <w:rPr>
        <w:rStyle w:val="PageNumber"/>
        <w:noProof/>
      </w:rPr>
      <w:t>17</w:t>
    </w:r>
    <w:r>
      <w:rPr>
        <w:rStyle w:val="PageNumber"/>
      </w:rPr>
      <w:fldChar w:fldCharType="end"/>
    </w:r>
  </w:p>
  <w:p w:rsidR="00D173E3" w:rsidRDefault="00D173E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13C" w:rsidRDefault="00EC613C">
      <w:r>
        <w:separator/>
      </w:r>
    </w:p>
  </w:footnote>
  <w:footnote w:type="continuationSeparator" w:id="0">
    <w:p w:rsidR="00EC613C" w:rsidRDefault="00EC613C">
      <w:r>
        <w:continuationSeparator/>
      </w:r>
    </w:p>
  </w:footnote>
  <w:footnote w:id="1">
    <w:p w:rsidR="00D173E3" w:rsidRPr="00E62173" w:rsidRDefault="00D173E3" w:rsidP="00E62173">
      <w:pPr>
        <w:pStyle w:val="FootnoteText"/>
        <w:ind w:left="72" w:hanging="72"/>
        <w:rPr>
          <w:rFonts w:ascii="Times New Roman" w:hAnsi="Times New Roman"/>
          <w:sz w:val="22"/>
          <w:szCs w:val="22"/>
        </w:rPr>
      </w:pPr>
      <w:r w:rsidRPr="00E62173">
        <w:rPr>
          <w:rStyle w:val="FootnoteReference"/>
          <w:rFonts w:ascii="Times New Roman" w:hAnsi="Times New Roman"/>
          <w:sz w:val="22"/>
          <w:szCs w:val="22"/>
        </w:rPr>
        <w:footnoteRef/>
      </w:r>
      <w:r w:rsidRPr="00E62173">
        <w:rPr>
          <w:rFonts w:ascii="Times New Roman" w:hAnsi="Times New Roman"/>
          <w:sz w:val="22"/>
          <w:szCs w:val="22"/>
        </w:rPr>
        <w:t xml:space="preserve"> Vide o conhecido livro de François Furet, </w:t>
      </w:r>
      <w:r w:rsidRPr="00E62173">
        <w:rPr>
          <w:rFonts w:ascii="Times New Roman" w:hAnsi="Times New Roman"/>
          <w:i/>
          <w:sz w:val="22"/>
          <w:szCs w:val="22"/>
        </w:rPr>
        <w:t>Le Passé d’une Illusion: essai sur l’idée communiste au XXe siècle</w:t>
      </w:r>
      <w:r w:rsidRPr="00E62173">
        <w:rPr>
          <w:rFonts w:ascii="Times New Roman" w:hAnsi="Times New Roman"/>
          <w:sz w:val="22"/>
          <w:szCs w:val="22"/>
        </w:rPr>
        <w:t xml:space="preserve"> (Paris: Robert Laffont-Calmann-Lévy, 1995), com edição brasileira. Minha análise dessa obra está contida na resenha-artigo “A Parábola do Comunismo no Século XX: a propósito do livro de François Furet: </w:t>
      </w:r>
      <w:r w:rsidRPr="00E62173">
        <w:rPr>
          <w:rFonts w:ascii="Times New Roman" w:hAnsi="Times New Roman"/>
          <w:i/>
          <w:sz w:val="22"/>
          <w:szCs w:val="22"/>
        </w:rPr>
        <w:t>Le Passé d’une Illusion</w:t>
      </w:r>
      <w:r w:rsidRPr="00E62173">
        <w:rPr>
          <w:rFonts w:ascii="Times New Roman" w:hAnsi="Times New Roman"/>
          <w:sz w:val="22"/>
          <w:szCs w:val="22"/>
        </w:rPr>
        <w:t xml:space="preserve">”, publicado na </w:t>
      </w:r>
      <w:r w:rsidRPr="00E62173">
        <w:rPr>
          <w:rFonts w:ascii="Times New Roman" w:hAnsi="Times New Roman"/>
          <w:i/>
          <w:sz w:val="22"/>
          <w:szCs w:val="22"/>
        </w:rPr>
        <w:t>Revista Brasileira de Política Internacional</w:t>
      </w:r>
      <w:r w:rsidRPr="00E62173">
        <w:rPr>
          <w:rFonts w:ascii="Times New Roman" w:hAnsi="Times New Roman"/>
          <w:sz w:val="22"/>
          <w:szCs w:val="22"/>
        </w:rPr>
        <w:t xml:space="preserve"> (Brasília: vol. 38, n° 1, janeiro-junho 1995, pp. 125-145).</w:t>
      </w:r>
    </w:p>
  </w:footnote>
  <w:footnote w:id="2">
    <w:p w:rsidR="00D173E3" w:rsidRPr="00E62173" w:rsidRDefault="00D173E3" w:rsidP="00E62173">
      <w:pPr>
        <w:pStyle w:val="FootnoteText"/>
        <w:ind w:left="72" w:hanging="72"/>
        <w:rPr>
          <w:rFonts w:ascii="Times New Roman" w:hAnsi="Times New Roman"/>
          <w:sz w:val="22"/>
          <w:szCs w:val="22"/>
        </w:rPr>
      </w:pPr>
      <w:r w:rsidRPr="00E62173">
        <w:rPr>
          <w:rStyle w:val="FootnoteReference"/>
          <w:rFonts w:ascii="Times New Roman" w:hAnsi="Times New Roman"/>
          <w:sz w:val="22"/>
          <w:szCs w:val="22"/>
        </w:rPr>
        <w:footnoteRef/>
      </w:r>
      <w:r w:rsidRPr="00E62173">
        <w:rPr>
          <w:rFonts w:ascii="Times New Roman" w:hAnsi="Times New Roman"/>
          <w:sz w:val="22"/>
          <w:szCs w:val="22"/>
        </w:rPr>
        <w:t xml:space="preserve"> Não é o caso de lembrar aqui que a própria sobrevivência do comunismo, enquanto sistema viável de organização social da produção, pode apenas ser assegurada, na difícil conjuntura dos anos 1920-21, por um retorno estratégico às práticas capitalistas de mercado e de apropriação – consagrado na NEP –, retorno que Bukarin gostaria de ver consolidado como a única forma possível de socialismo real.</w:t>
      </w:r>
    </w:p>
  </w:footnote>
  <w:footnote w:id="3">
    <w:p w:rsidR="00D173E3" w:rsidRPr="00E62173" w:rsidRDefault="00D173E3" w:rsidP="00E62173">
      <w:pPr>
        <w:pStyle w:val="FootnoteText"/>
        <w:ind w:left="72" w:hanging="72"/>
        <w:rPr>
          <w:rFonts w:ascii="Times New Roman" w:hAnsi="Times New Roman"/>
          <w:sz w:val="22"/>
          <w:szCs w:val="22"/>
        </w:rPr>
      </w:pPr>
      <w:r w:rsidRPr="00E62173">
        <w:rPr>
          <w:rStyle w:val="FootnoteReference"/>
          <w:rFonts w:ascii="Times New Roman" w:hAnsi="Times New Roman"/>
          <w:sz w:val="22"/>
          <w:szCs w:val="22"/>
        </w:rPr>
        <w:footnoteRef/>
      </w:r>
      <w:r w:rsidRPr="00E62173">
        <w:rPr>
          <w:rFonts w:ascii="Times New Roman" w:hAnsi="Times New Roman"/>
          <w:sz w:val="22"/>
          <w:szCs w:val="22"/>
        </w:rPr>
        <w:t xml:space="preserve"> Incidentalmente, caberia observar o fato de o comunismo ter vencido apenas em países atrasados do ponto de vista capitalista, o que em princípio não deveria contribuir para o “sucesso” ideológico e politico desse regime.</w:t>
      </w:r>
    </w:p>
  </w:footnote>
  <w:footnote w:id="4">
    <w:p w:rsidR="00D173E3" w:rsidRPr="00E62173" w:rsidRDefault="00D173E3" w:rsidP="00E62173">
      <w:pPr>
        <w:pStyle w:val="FootnoteText"/>
        <w:ind w:left="72" w:hanging="72"/>
        <w:rPr>
          <w:rFonts w:ascii="Times New Roman" w:hAnsi="Times New Roman"/>
          <w:sz w:val="22"/>
          <w:szCs w:val="22"/>
        </w:rPr>
      </w:pPr>
      <w:r w:rsidRPr="00E62173">
        <w:rPr>
          <w:rStyle w:val="FootnoteReference"/>
          <w:rFonts w:ascii="Times New Roman" w:hAnsi="Times New Roman"/>
          <w:sz w:val="22"/>
          <w:szCs w:val="22"/>
        </w:rPr>
        <w:footnoteRef/>
      </w:r>
      <w:r w:rsidRPr="00E62173">
        <w:rPr>
          <w:rFonts w:ascii="Times New Roman" w:hAnsi="Times New Roman"/>
          <w:sz w:val="22"/>
          <w:szCs w:val="22"/>
        </w:rPr>
        <w:t xml:space="preserve"> Em 1961, por exemplo, no 22º Congresso do PCUS, Krushev prometia ultrapassar a produção per capita dos Estados Unidos por volta de 1970 e construir uma “sociedade comunista acabada” em torno de 1980.</w:t>
      </w:r>
    </w:p>
  </w:footnote>
  <w:footnote w:id="5">
    <w:p w:rsidR="00D173E3" w:rsidRPr="00E62173" w:rsidRDefault="00D173E3" w:rsidP="00E62173">
      <w:pPr>
        <w:pStyle w:val="FootnoteText"/>
        <w:ind w:left="72" w:hanging="72"/>
        <w:rPr>
          <w:rFonts w:ascii="Times New Roman" w:hAnsi="Times New Roman"/>
          <w:sz w:val="22"/>
          <w:szCs w:val="22"/>
        </w:rPr>
      </w:pPr>
      <w:r w:rsidRPr="00E62173">
        <w:rPr>
          <w:rStyle w:val="FootnoteReference"/>
          <w:rFonts w:ascii="Times New Roman" w:hAnsi="Times New Roman"/>
          <w:sz w:val="22"/>
          <w:szCs w:val="22"/>
        </w:rPr>
        <w:footnoteRef/>
      </w:r>
      <w:r w:rsidRPr="00E62173">
        <w:rPr>
          <w:rFonts w:ascii="Times New Roman" w:hAnsi="Times New Roman"/>
          <w:sz w:val="22"/>
          <w:szCs w:val="22"/>
        </w:rPr>
        <w:t xml:space="preserve"> Cf Eric Hobsbawm, </w:t>
      </w:r>
      <w:r w:rsidRPr="00E62173">
        <w:rPr>
          <w:rFonts w:ascii="Times New Roman" w:hAnsi="Times New Roman"/>
          <w:i/>
          <w:sz w:val="22"/>
          <w:szCs w:val="22"/>
        </w:rPr>
        <w:t>Age of Extremes: the short twentieth century, 1914-1991</w:t>
      </w:r>
      <w:r w:rsidRPr="00E62173">
        <w:rPr>
          <w:rFonts w:ascii="Times New Roman" w:hAnsi="Times New Roman"/>
          <w:sz w:val="22"/>
          <w:szCs w:val="22"/>
        </w:rPr>
        <w:t xml:space="preserve"> (Londres: Michael Joseph, 1994), p. 374; o livro possui edição brasileira.</w:t>
      </w:r>
    </w:p>
  </w:footnote>
  <w:footnote w:id="6">
    <w:p w:rsidR="00D173E3" w:rsidRPr="00E62173" w:rsidRDefault="00D173E3" w:rsidP="00E62173">
      <w:pPr>
        <w:pStyle w:val="FootnoteText"/>
        <w:ind w:left="72" w:hanging="72"/>
        <w:rPr>
          <w:rFonts w:ascii="Times New Roman" w:hAnsi="Times New Roman"/>
          <w:sz w:val="22"/>
          <w:szCs w:val="22"/>
        </w:rPr>
      </w:pPr>
      <w:r w:rsidRPr="00E62173">
        <w:rPr>
          <w:rStyle w:val="FootnoteReference"/>
          <w:rFonts w:ascii="Times New Roman" w:hAnsi="Times New Roman"/>
          <w:sz w:val="22"/>
          <w:szCs w:val="22"/>
        </w:rPr>
        <w:footnoteRef/>
      </w:r>
      <w:r w:rsidRPr="00E62173">
        <w:rPr>
          <w:rFonts w:ascii="Times New Roman" w:hAnsi="Times New Roman"/>
          <w:sz w:val="22"/>
          <w:szCs w:val="22"/>
        </w:rPr>
        <w:t xml:space="preserve"> Idem, p. 475.</w:t>
      </w:r>
    </w:p>
  </w:footnote>
  <w:footnote w:id="7">
    <w:p w:rsidR="00D173E3" w:rsidRPr="00E62173" w:rsidRDefault="00D173E3" w:rsidP="00E62173">
      <w:pPr>
        <w:pStyle w:val="FootnoteText"/>
        <w:ind w:left="72" w:hanging="72"/>
        <w:rPr>
          <w:rFonts w:ascii="Times New Roman" w:hAnsi="Times New Roman"/>
          <w:sz w:val="22"/>
          <w:szCs w:val="22"/>
        </w:rPr>
      </w:pPr>
      <w:r w:rsidRPr="00E62173">
        <w:rPr>
          <w:rStyle w:val="FootnoteReference"/>
          <w:rFonts w:ascii="Times New Roman" w:hAnsi="Times New Roman"/>
          <w:sz w:val="22"/>
          <w:szCs w:val="22"/>
        </w:rPr>
        <w:footnoteRef/>
      </w:r>
      <w:r w:rsidRPr="00E62173">
        <w:rPr>
          <w:rFonts w:ascii="Times New Roman" w:hAnsi="Times New Roman"/>
          <w:sz w:val="22"/>
          <w:szCs w:val="22"/>
        </w:rPr>
        <w:t xml:space="preserve"> Tradução livre a partir da edição francesa; vide “Contribution à la Critique de l’Économie Politique” in Karl Marx, </w:t>
      </w:r>
      <w:r w:rsidRPr="00E62173">
        <w:rPr>
          <w:rFonts w:ascii="Times New Roman" w:hAnsi="Times New Roman"/>
          <w:i/>
          <w:sz w:val="22"/>
          <w:szCs w:val="22"/>
        </w:rPr>
        <w:t>Oeuvres, Économie I</w:t>
      </w:r>
      <w:r w:rsidRPr="00E62173">
        <w:rPr>
          <w:rFonts w:ascii="Times New Roman" w:hAnsi="Times New Roman"/>
          <w:sz w:val="22"/>
          <w:szCs w:val="22"/>
        </w:rPr>
        <w:t xml:space="preserve"> (Paris: Bibliothèque de la Pléiade, 1965), p. 273.</w:t>
      </w:r>
    </w:p>
  </w:footnote>
  <w:footnote w:id="8">
    <w:p w:rsidR="00D173E3" w:rsidRPr="00E62173" w:rsidRDefault="00D173E3" w:rsidP="00E62173">
      <w:pPr>
        <w:pStyle w:val="FootnoteText"/>
        <w:ind w:left="72" w:hanging="72"/>
        <w:rPr>
          <w:rFonts w:ascii="Times New Roman" w:hAnsi="Times New Roman"/>
          <w:sz w:val="22"/>
          <w:szCs w:val="22"/>
        </w:rPr>
      </w:pPr>
      <w:r w:rsidRPr="00E62173">
        <w:rPr>
          <w:rStyle w:val="FootnoteReference"/>
          <w:rFonts w:ascii="Times New Roman" w:hAnsi="Times New Roman"/>
          <w:sz w:val="22"/>
          <w:szCs w:val="22"/>
        </w:rPr>
        <w:footnoteRef/>
      </w:r>
      <w:r w:rsidRPr="00E62173">
        <w:rPr>
          <w:rFonts w:ascii="Times New Roman" w:hAnsi="Times New Roman"/>
          <w:sz w:val="22"/>
          <w:szCs w:val="22"/>
        </w:rPr>
        <w:t xml:space="preserve"> Massimo Salvadori, cuja obra vim a ler apenas depois de elaborada esta reflexão, fez o mesmo tipo de análise “marxista” sobre a contradição fundamental do comunismo soviético: “Aplicando ao caso soviético as categorias marxianas, se pode dizer que na União Soviética, a superestrutura sufocava dali em diante [anos 80] as condições de desenvolvimento da sociedade, criando uma situação de crise orgânica do sistema. Tornava-se mais e mais evidente, de fato, que a rigidez planificadora burocrático-centralista, que tinha podido obter substanciais sucessos no âmbito da modernização tardia baseada na indústria pesada, na cadeia de montagem, no contrôle autoritário da mão-de-obra, na compressão do consumo em proveito dos investimentos nos setores considerados estratégicos, em primeiro lugar militares, não estava estruturalmente em condições de realizar o salto qualitativo indispensável para conduzir o sistema à era da telemática disseminada e de produções sujeitas à rápida obsolescência e, portanto, adaptá-lo à necessidade de rápidas reconversões, implementadas por uma pluralidade de centros de decisão sensíveis às exigências da inovação permanente”; cf. </w:t>
      </w:r>
      <w:r w:rsidRPr="00E62173">
        <w:rPr>
          <w:rFonts w:ascii="Times New Roman" w:hAnsi="Times New Roman"/>
          <w:i/>
          <w:sz w:val="22"/>
          <w:szCs w:val="22"/>
        </w:rPr>
        <w:t xml:space="preserve">La Parabola del Comunismo </w:t>
      </w:r>
      <w:r w:rsidRPr="00E62173">
        <w:rPr>
          <w:rFonts w:ascii="Times New Roman" w:hAnsi="Times New Roman"/>
          <w:sz w:val="22"/>
          <w:szCs w:val="22"/>
        </w:rPr>
        <w:t>(Bari: Laterza, 1995), p. 56.</w:t>
      </w:r>
    </w:p>
  </w:footnote>
  <w:footnote w:id="9">
    <w:p w:rsidR="00D173E3" w:rsidRPr="00E62173" w:rsidRDefault="00D173E3" w:rsidP="00E62173">
      <w:pPr>
        <w:pStyle w:val="FootnoteText"/>
        <w:rPr>
          <w:rFonts w:ascii="Times New Roman" w:hAnsi="Times New Roman"/>
          <w:sz w:val="22"/>
          <w:szCs w:val="22"/>
        </w:rPr>
      </w:pPr>
      <w:r w:rsidRPr="00E62173">
        <w:rPr>
          <w:rStyle w:val="FootnoteReference"/>
          <w:rFonts w:ascii="Times New Roman" w:hAnsi="Times New Roman"/>
          <w:sz w:val="22"/>
          <w:szCs w:val="22"/>
        </w:rPr>
        <w:footnoteRef/>
      </w:r>
      <w:r w:rsidRPr="00E62173">
        <w:rPr>
          <w:rFonts w:ascii="Times New Roman" w:hAnsi="Times New Roman"/>
          <w:sz w:val="22"/>
          <w:szCs w:val="22"/>
        </w:rPr>
        <w:t xml:space="preserve"> Cf. “Contribution à la Critique de l’Économie Politique”, op. cit., p. 274.</w:t>
      </w:r>
    </w:p>
  </w:footnote>
  <w:footnote w:id="10">
    <w:p w:rsidR="00D173E3" w:rsidRPr="00E62173" w:rsidRDefault="00D173E3" w:rsidP="00E62173">
      <w:pPr>
        <w:pStyle w:val="FootnoteText"/>
        <w:ind w:left="72" w:hanging="72"/>
        <w:rPr>
          <w:rFonts w:ascii="Times New Roman" w:hAnsi="Times New Roman"/>
          <w:sz w:val="22"/>
          <w:szCs w:val="22"/>
        </w:rPr>
      </w:pPr>
      <w:r w:rsidRPr="00E62173">
        <w:rPr>
          <w:rStyle w:val="FootnoteReference"/>
          <w:rFonts w:ascii="Times New Roman" w:hAnsi="Times New Roman"/>
          <w:sz w:val="22"/>
          <w:szCs w:val="22"/>
        </w:rPr>
        <w:footnoteRef/>
      </w:r>
      <w:r w:rsidRPr="00E62173">
        <w:rPr>
          <w:rFonts w:ascii="Times New Roman" w:hAnsi="Times New Roman"/>
          <w:sz w:val="22"/>
          <w:szCs w:val="22"/>
        </w:rPr>
        <w:t xml:space="preserve"> Citado por </w:t>
      </w:r>
      <w:r w:rsidRPr="00E62173">
        <w:rPr>
          <w:rFonts w:ascii="Times New Roman" w:hAnsi="Times New Roman"/>
          <w:spacing w:val="20"/>
          <w:sz w:val="22"/>
          <w:szCs w:val="22"/>
        </w:rPr>
        <w:t xml:space="preserve">Francis Fukuyama, “Gorbachev and the Third World”, </w:t>
      </w:r>
      <w:r w:rsidRPr="00E62173">
        <w:rPr>
          <w:rFonts w:ascii="Times New Roman" w:hAnsi="Times New Roman"/>
          <w:i/>
          <w:spacing w:val="20"/>
          <w:sz w:val="22"/>
          <w:szCs w:val="22"/>
        </w:rPr>
        <w:t>Foreign Affairs</w:t>
      </w:r>
      <w:r w:rsidRPr="00E62173">
        <w:rPr>
          <w:rFonts w:ascii="Times New Roman" w:hAnsi="Times New Roman"/>
          <w:spacing w:val="20"/>
          <w:sz w:val="22"/>
          <w:szCs w:val="22"/>
        </w:rPr>
        <w:t xml:space="preserve"> (vol. 64, n° 4, Spring 1986, pp. 715-731).</w:t>
      </w:r>
    </w:p>
  </w:footnote>
  <w:footnote w:id="11">
    <w:p w:rsidR="00D173E3" w:rsidRPr="00E62173" w:rsidRDefault="00D173E3" w:rsidP="00E62173">
      <w:pPr>
        <w:pStyle w:val="FootnoteText"/>
        <w:ind w:left="72" w:hanging="72"/>
        <w:rPr>
          <w:rFonts w:ascii="Times New Roman" w:hAnsi="Times New Roman"/>
          <w:sz w:val="22"/>
          <w:szCs w:val="22"/>
        </w:rPr>
      </w:pPr>
      <w:r w:rsidRPr="00E62173">
        <w:rPr>
          <w:rStyle w:val="FootnoteReference"/>
          <w:rFonts w:ascii="Times New Roman" w:hAnsi="Times New Roman"/>
          <w:sz w:val="22"/>
          <w:szCs w:val="22"/>
        </w:rPr>
        <w:footnoteRef/>
      </w:r>
      <w:r w:rsidRPr="00E62173">
        <w:rPr>
          <w:rFonts w:ascii="Times New Roman" w:hAnsi="Times New Roman"/>
          <w:sz w:val="22"/>
          <w:szCs w:val="22"/>
        </w:rPr>
        <w:t xml:space="preserve"> Tradução livre a partir da edição da Pléiade; vide “Le Manifeste Communiste” in Karl Marx, </w:t>
      </w:r>
      <w:r w:rsidRPr="00E62173">
        <w:rPr>
          <w:rFonts w:ascii="Times New Roman" w:hAnsi="Times New Roman"/>
          <w:i/>
          <w:sz w:val="22"/>
          <w:szCs w:val="22"/>
        </w:rPr>
        <w:t>Oeuvres I: Économie</w:t>
      </w:r>
      <w:r w:rsidRPr="00E62173">
        <w:rPr>
          <w:rFonts w:ascii="Times New Roman" w:hAnsi="Times New Roman"/>
          <w:sz w:val="22"/>
          <w:szCs w:val="22"/>
        </w:rPr>
        <w:t xml:space="preserve">, op. cit., p. 166. Realizei uma releitura moderna do “velho” Manifesto de 1848 em ensaio feito exatamente 150 anos de sua publicação, elaborado a partir de uma “revisão marxista” desse texto ainda profundamente atual, como se o próprio Marx tivesse reescrito o Manifesto nesta era de globalização. Ambos os textos figuram em meu livro: </w:t>
      </w:r>
      <w:r w:rsidRPr="00E62173">
        <w:rPr>
          <w:rFonts w:ascii="Times New Roman" w:hAnsi="Times New Roman"/>
          <w:i/>
          <w:sz w:val="22"/>
          <w:szCs w:val="22"/>
        </w:rPr>
        <w:t>Velhos e Novos Manifestos: o socialismo na era da globalização</w:t>
      </w:r>
      <w:r w:rsidRPr="00E62173">
        <w:rPr>
          <w:rFonts w:ascii="Times New Roman" w:hAnsi="Times New Roman"/>
          <w:sz w:val="22"/>
          <w:szCs w:val="22"/>
        </w:rPr>
        <w:t xml:space="preserve"> (São Paulo: Editora Juarez de Oliveira, 1999).</w:t>
      </w:r>
    </w:p>
  </w:footnote>
  <w:footnote w:id="12">
    <w:p w:rsidR="00D173E3" w:rsidRPr="00E62173" w:rsidRDefault="00D173E3" w:rsidP="00E62173">
      <w:pPr>
        <w:pStyle w:val="FootnoteText"/>
        <w:ind w:left="72" w:hanging="72"/>
        <w:rPr>
          <w:rFonts w:ascii="Times New Roman" w:hAnsi="Times New Roman"/>
          <w:sz w:val="22"/>
          <w:szCs w:val="22"/>
        </w:rPr>
      </w:pPr>
      <w:r w:rsidRPr="00E62173">
        <w:rPr>
          <w:rStyle w:val="FootnoteReference"/>
          <w:rFonts w:ascii="Times New Roman" w:hAnsi="Times New Roman"/>
          <w:sz w:val="22"/>
          <w:szCs w:val="22"/>
        </w:rPr>
        <w:footnoteRef/>
      </w:r>
      <w:r w:rsidRPr="00E62173">
        <w:rPr>
          <w:rFonts w:ascii="Times New Roman" w:hAnsi="Times New Roman"/>
          <w:sz w:val="22"/>
          <w:szCs w:val="22"/>
        </w:rPr>
        <w:t xml:space="preserve"> Hobsbawm, por sua parte, combina elementos políticos e econômicos em sua análise sobre a queda final do comunismo: “O que levou a União Soviética em marcha acelerada em direção ao precipício foi a combinação da </w:t>
      </w:r>
      <w:r w:rsidRPr="00E62173">
        <w:rPr>
          <w:rFonts w:ascii="Times New Roman" w:hAnsi="Times New Roman"/>
          <w:i/>
          <w:sz w:val="22"/>
          <w:szCs w:val="22"/>
        </w:rPr>
        <w:t>glasnost</w:t>
      </w:r>
      <w:r w:rsidRPr="00E62173">
        <w:rPr>
          <w:rFonts w:ascii="Times New Roman" w:hAnsi="Times New Roman"/>
          <w:sz w:val="22"/>
          <w:szCs w:val="22"/>
        </w:rPr>
        <w:t>,</w:t>
      </w:r>
      <w:r w:rsidRPr="00E62173">
        <w:rPr>
          <w:rFonts w:ascii="Times New Roman" w:hAnsi="Times New Roman"/>
          <w:i/>
          <w:sz w:val="22"/>
          <w:szCs w:val="22"/>
        </w:rPr>
        <w:t xml:space="preserve"> </w:t>
      </w:r>
      <w:r w:rsidRPr="00E62173">
        <w:rPr>
          <w:rFonts w:ascii="Times New Roman" w:hAnsi="Times New Roman"/>
          <w:sz w:val="22"/>
          <w:szCs w:val="22"/>
        </w:rPr>
        <w:t xml:space="preserve">que significava a desintegração da autoridade, com a </w:t>
      </w:r>
      <w:r w:rsidRPr="00E62173">
        <w:rPr>
          <w:rFonts w:ascii="Times New Roman" w:hAnsi="Times New Roman"/>
          <w:i/>
          <w:sz w:val="22"/>
          <w:szCs w:val="22"/>
        </w:rPr>
        <w:t>perestroika</w:t>
      </w:r>
      <w:r w:rsidRPr="00E62173">
        <w:rPr>
          <w:rFonts w:ascii="Times New Roman" w:hAnsi="Times New Roman"/>
          <w:sz w:val="22"/>
          <w:szCs w:val="22"/>
        </w:rPr>
        <w:t xml:space="preserve">, que resultou na destruição dos velhos mecanismos que faziam a economia funcionar, sem prever nenhuma alternativa; e consequentemente o colapso crescentemente dramático do padrão de vida dos cidadãos”; “A desintegração econômica ajudou o progresso da desintegração política e foi alimentada por ela”; op. cit., pp. 483 e 485. </w:t>
      </w:r>
    </w:p>
  </w:footnote>
  <w:footnote w:id="13">
    <w:p w:rsidR="00D173E3" w:rsidRPr="00E62173" w:rsidRDefault="00D173E3" w:rsidP="00E62173">
      <w:pPr>
        <w:pStyle w:val="FootnoteText"/>
        <w:ind w:left="72" w:hanging="72"/>
        <w:rPr>
          <w:rFonts w:ascii="Times New Roman" w:hAnsi="Times New Roman"/>
          <w:sz w:val="22"/>
          <w:szCs w:val="22"/>
        </w:rPr>
      </w:pPr>
      <w:r w:rsidRPr="00E62173">
        <w:rPr>
          <w:rStyle w:val="FootnoteReference"/>
          <w:rFonts w:ascii="Times New Roman" w:hAnsi="Times New Roman"/>
          <w:sz w:val="22"/>
          <w:szCs w:val="22"/>
        </w:rPr>
        <w:footnoteRef/>
      </w:r>
      <w:r w:rsidRPr="00E62173">
        <w:rPr>
          <w:rFonts w:ascii="Times New Roman" w:hAnsi="Times New Roman"/>
          <w:sz w:val="22"/>
          <w:szCs w:val="22"/>
        </w:rPr>
        <w:t xml:space="preserve"> Hobsbawm, op. cit., p. 486. Salvadori também faz uma análise similar: “O sistema [já sob a direção de Gorbachev] demonstrou não ser renovável por causa de sua rigidez; e o movimento de reforma, que investiu a economia e as instituições políticas, teve efeitos destabilizadores, de tal forma a romper a máquina existente e provocar um verdadeiro processo de ‘descolamento’. O primeiro resultado foi o precipitar da crise econômica, que em 1990 assume o caráter de catástrofe”. “O sistema... desagregou-se sob o peso de dois elementos fundamentais, um ligado ao outro. O primeiro foi a incapacidade estrutural de um sistema centralístico-burocrático-totalitário (...) em responder aos desafios colocados pela economia complexa do mundo capitalista entrado na era pós-industrial. O segundo foi a incapacidade final do sistema de poder comunista em controlar, seja pelo consenso, seja pela coerção, a sociedade, colocada sob um domínio brutal...”; cf. </w:t>
      </w:r>
      <w:r w:rsidRPr="00E62173">
        <w:rPr>
          <w:rFonts w:ascii="Times New Roman" w:hAnsi="Times New Roman"/>
          <w:i/>
          <w:sz w:val="22"/>
          <w:szCs w:val="22"/>
        </w:rPr>
        <w:t>La Parabola del Comunismo</w:t>
      </w:r>
      <w:r w:rsidRPr="00E62173">
        <w:rPr>
          <w:rFonts w:ascii="Times New Roman" w:hAnsi="Times New Roman"/>
          <w:sz w:val="22"/>
          <w:szCs w:val="22"/>
        </w:rPr>
        <w:t>, op. cit., pp. 57 e 91.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AD1"/>
    <w:rsid w:val="004F72ED"/>
    <w:rsid w:val="00D173E3"/>
    <w:rsid w:val="00E06269"/>
    <w:rsid w:val="00E62173"/>
    <w:rsid w:val="00EC613C"/>
    <w:rsid w:val="00FE7981"/>
  </w:rsids>
  <m:mathPr>
    <m:mathFont m:val="Cambria Math"/>
    <m:brkBin m:val="before"/>
    <m:brkBinSub m:val="--"/>
    <m:smallFrac m:val="0"/>
    <m:dispDef m:val="0"/>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pt-BR"/>
    </w:rPr>
  </w:style>
  <w:style w:type="paragraph" w:styleId="Heading1">
    <w:name w:val="heading 1"/>
    <w:basedOn w:val="Normal"/>
    <w:next w:val="Normal"/>
    <w:qFormat/>
    <w:pPr>
      <w:keepNext/>
      <w:spacing w:line="400" w:lineRule="atLeast"/>
      <w:ind w:left="140" w:right="200" w:hanging="50"/>
      <w:jc w:val="both"/>
      <w:outlineLvl w:val="0"/>
    </w:pPr>
    <w:rPr>
      <w:rFonts w:ascii="Times New Roman" w:hAnsi="Times New Roman"/>
      <w:b/>
      <w:spacing w:val="20"/>
    </w:rPr>
  </w:style>
  <w:style w:type="paragraph" w:styleId="Heading8">
    <w:name w:val="heading 8"/>
    <w:basedOn w:val="Normal"/>
    <w:next w:val="Normal"/>
    <w:qFormat/>
    <w:pPr>
      <w:keepNext/>
      <w:outlineLvl w:val="7"/>
    </w:pPr>
    <w:rPr>
      <w:rFonts w:ascii="Lucida Console" w:eastAsia="Times New Roman" w:hAnsi="Lucida Console"/>
      <w:b/>
      <w:sz w:val="32"/>
      <w:lang w:val="en-US"/>
    </w:rPr>
  </w:style>
  <w:style w:type="paragraph" w:styleId="Heading9">
    <w:name w:val="heading 9"/>
    <w:basedOn w:val="Normal"/>
    <w:next w:val="Normal"/>
    <w:qFormat/>
    <w:pPr>
      <w:keepNext/>
      <w:outlineLvl w:val="8"/>
    </w:pPr>
    <w:rPr>
      <w:rFonts w:ascii="Lucida Console" w:eastAsia="Times New Roman" w:hAnsi="Lucida Console"/>
      <w:sz w:val="32"/>
      <w:lang w:val="en-US"/>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Times New Roman" w:eastAsia="Times New Roman" w:hAnsi="Times New Roman"/>
      <w:lang w:val="en-US"/>
    </w:rPr>
  </w:style>
  <w:style w:type="character" w:styleId="Hyperlink">
    <w:name w:val="Hyperlink"/>
    <w:rPr>
      <w:color w:val="0000FF"/>
      <w:u w:val="single"/>
    </w:rPr>
  </w:style>
  <w:style w:type="paragraph" w:styleId="BodyText">
    <w:name w:val="Body Text"/>
    <w:basedOn w:val="Normal"/>
    <w:rPr>
      <w:rFonts w:ascii="Times New Roman" w:hAnsi="Times New Roman"/>
      <w:b/>
    </w:rPr>
  </w:style>
  <w:style w:type="paragraph" w:customStyle="1" w:styleId="Footnote">
    <w:name w:val="Footnote"/>
    <w:basedOn w:val="Normal"/>
    <w:pPr>
      <w:widowControl w:val="0"/>
      <w:tabs>
        <w:tab w:val="left" w:pos="720"/>
        <w:tab w:val="left" w:pos="1440"/>
        <w:tab w:val="left" w:pos="7200"/>
      </w:tabs>
      <w:spacing w:line="320" w:lineRule="atLeast"/>
    </w:pPr>
    <w:rPr>
      <w:rFonts w:ascii="Geneva" w:eastAsia="Times New Roman" w:hAnsi="Geneva"/>
      <w:sz w:val="20"/>
      <w:lang w:val="en-US"/>
    </w:rPr>
  </w:style>
  <w:style w:type="character" w:styleId="FootnoteReference">
    <w:name w:val="footnote reference"/>
    <w:rPr>
      <w:vertAlign w:val="superscript"/>
    </w:rPr>
  </w:style>
  <w:style w:type="paragraph" w:styleId="FootnoteText">
    <w:name w:val="footnote tex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pt-BR"/>
    </w:rPr>
  </w:style>
  <w:style w:type="paragraph" w:styleId="Heading1">
    <w:name w:val="heading 1"/>
    <w:basedOn w:val="Normal"/>
    <w:next w:val="Normal"/>
    <w:qFormat/>
    <w:pPr>
      <w:keepNext/>
      <w:spacing w:line="400" w:lineRule="atLeast"/>
      <w:ind w:left="140" w:right="200" w:hanging="50"/>
      <w:jc w:val="both"/>
      <w:outlineLvl w:val="0"/>
    </w:pPr>
    <w:rPr>
      <w:rFonts w:ascii="Times New Roman" w:hAnsi="Times New Roman"/>
      <w:b/>
      <w:spacing w:val="20"/>
    </w:rPr>
  </w:style>
  <w:style w:type="paragraph" w:styleId="Heading8">
    <w:name w:val="heading 8"/>
    <w:basedOn w:val="Normal"/>
    <w:next w:val="Normal"/>
    <w:qFormat/>
    <w:pPr>
      <w:keepNext/>
      <w:outlineLvl w:val="7"/>
    </w:pPr>
    <w:rPr>
      <w:rFonts w:ascii="Lucida Console" w:eastAsia="Times New Roman" w:hAnsi="Lucida Console"/>
      <w:b/>
      <w:sz w:val="32"/>
      <w:lang w:val="en-US"/>
    </w:rPr>
  </w:style>
  <w:style w:type="paragraph" w:styleId="Heading9">
    <w:name w:val="heading 9"/>
    <w:basedOn w:val="Normal"/>
    <w:next w:val="Normal"/>
    <w:qFormat/>
    <w:pPr>
      <w:keepNext/>
      <w:outlineLvl w:val="8"/>
    </w:pPr>
    <w:rPr>
      <w:rFonts w:ascii="Lucida Console" w:eastAsia="Times New Roman" w:hAnsi="Lucida Console"/>
      <w:sz w:val="32"/>
      <w:lang w:val="en-US"/>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Times New Roman" w:eastAsia="Times New Roman" w:hAnsi="Times New Roman"/>
      <w:lang w:val="en-US"/>
    </w:rPr>
  </w:style>
  <w:style w:type="character" w:styleId="Hyperlink">
    <w:name w:val="Hyperlink"/>
    <w:rPr>
      <w:color w:val="0000FF"/>
      <w:u w:val="single"/>
    </w:rPr>
  </w:style>
  <w:style w:type="paragraph" w:styleId="BodyText">
    <w:name w:val="Body Text"/>
    <w:basedOn w:val="Normal"/>
    <w:rPr>
      <w:rFonts w:ascii="Times New Roman" w:hAnsi="Times New Roman"/>
      <w:b/>
    </w:rPr>
  </w:style>
  <w:style w:type="paragraph" w:customStyle="1" w:styleId="Footnote">
    <w:name w:val="Footnote"/>
    <w:basedOn w:val="Normal"/>
    <w:pPr>
      <w:widowControl w:val="0"/>
      <w:tabs>
        <w:tab w:val="left" w:pos="720"/>
        <w:tab w:val="left" w:pos="1440"/>
        <w:tab w:val="left" w:pos="7200"/>
      </w:tabs>
      <w:spacing w:line="320" w:lineRule="atLeast"/>
    </w:pPr>
    <w:rPr>
      <w:rFonts w:ascii="Geneva" w:eastAsia="Times New Roman" w:hAnsi="Geneva"/>
      <w:sz w:val="20"/>
      <w:lang w:val="en-US"/>
    </w:rPr>
  </w:style>
  <w:style w:type="character" w:styleId="FootnoteReference">
    <w:name w:val="footnote reference"/>
    <w:rPr>
      <w:vertAlign w:val="superscript"/>
    </w:rPr>
  </w:style>
  <w:style w:type="paragraph" w:styleId="FootnoteText">
    <w:name w:val="footnote text"/>
    <w:basedOn w:val="Normal"/>
  </w:style>
  <w:style w:type="paragraph" w:styleId="Footer">
    <w:name w:val="footer"/>
    <w:basedOn w:val="Normal"/>
    <w:pPr>
      <w:tabs>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pralmeida@mac.com" TargetMode="External"/><Relationship Id="rId8" Type="http://schemas.openxmlformats.org/officeDocument/2006/relationships/hyperlink" Target="http://www.pralmeida.org" TargetMode="External"/><Relationship Id="rId9" Type="http://schemas.openxmlformats.org/officeDocument/2006/relationships/hyperlink" Target="http://www.pralmeida.org"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5282</Words>
  <Characters>31692</Characters>
  <Application>Microsoft Macintosh Word</Application>
  <DocSecurity>0</DocSecurity>
  <Lines>856</Lines>
  <Paragraphs>284</Paragraphs>
  <ScaleCrop>false</ScaleCrop>
  <HeadingPairs>
    <vt:vector size="2" baseType="variant">
      <vt:variant>
        <vt:lpstr>Title</vt:lpstr>
      </vt:variant>
      <vt:variant>
        <vt:i4>1</vt:i4>
      </vt:variant>
    </vt:vector>
  </HeadingPairs>
  <TitlesOfParts>
    <vt:vector size="1" baseType="lpstr">
      <vt:lpstr>U</vt:lpstr>
    </vt:vector>
  </TitlesOfParts>
  <Company>Brazilian Embassy</Company>
  <LinksUpToDate>false</LinksUpToDate>
  <CharactersWithSpaces>36690</CharactersWithSpaces>
  <SharedDoc>false</SharedDoc>
  <HLinks>
    <vt:vector size="18" baseType="variant">
      <vt:variant>
        <vt:i4>5701692</vt:i4>
      </vt:variant>
      <vt:variant>
        <vt:i4>6</vt:i4>
      </vt:variant>
      <vt:variant>
        <vt:i4>0</vt:i4>
      </vt:variant>
      <vt:variant>
        <vt:i4>5</vt:i4>
      </vt:variant>
      <vt:variant>
        <vt:lpwstr>http://www.pralmeida.org/</vt:lpwstr>
      </vt:variant>
      <vt:variant>
        <vt:lpwstr/>
      </vt:variant>
      <vt:variant>
        <vt:i4>5701692</vt:i4>
      </vt:variant>
      <vt:variant>
        <vt:i4>3</vt:i4>
      </vt:variant>
      <vt:variant>
        <vt:i4>0</vt:i4>
      </vt:variant>
      <vt:variant>
        <vt:i4>5</vt:i4>
      </vt:variant>
      <vt:variant>
        <vt:lpwstr>http://www.pralmeida.org/</vt:lpwstr>
      </vt:variant>
      <vt:variant>
        <vt:lpwstr/>
      </vt:variant>
      <vt:variant>
        <vt:i4>1441845</vt:i4>
      </vt:variant>
      <vt:variant>
        <vt:i4>0</vt:i4>
      </vt:variant>
      <vt:variant>
        <vt:i4>0</vt:i4>
      </vt:variant>
      <vt:variant>
        <vt:i4>5</vt:i4>
      </vt:variant>
      <vt:variant>
        <vt:lpwstr>mailto:pralmeida@mac.com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Paulo Almeida</dc:creator>
  <cp:keywords/>
  <cp:lastModifiedBy>Paulo Roberto de Almeida</cp:lastModifiedBy>
  <cp:revision>2</cp:revision>
  <dcterms:created xsi:type="dcterms:W3CDTF">2017-03-12T18:58:00Z</dcterms:created>
  <dcterms:modified xsi:type="dcterms:W3CDTF">2017-03-12T18:58:00Z</dcterms:modified>
</cp:coreProperties>
</file>