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7AE42" w14:textId="77777777" w:rsidR="005A6581" w:rsidRDefault="0064432F">
      <w:pPr>
        <w:pBdr>
          <w:top w:val="nil"/>
          <w:left w:val="nil"/>
          <w:bottom w:val="single" w:sz="12" w:space="1" w:color="000000"/>
          <w:right w:val="nil"/>
          <w:between w:val="nil"/>
        </w:pBdr>
        <w:jc w:val="right"/>
        <w:rPr>
          <w:rFonts w:ascii="Arial" w:eastAsia="Arial" w:hAnsi="Arial" w:cs="Arial"/>
          <w:b/>
          <w:smallCaps/>
          <w:sz w:val="28"/>
          <w:szCs w:val="28"/>
        </w:rPr>
      </w:pPr>
      <w:r>
        <w:rPr>
          <w:rFonts w:ascii="Arial" w:eastAsia="Arial" w:hAnsi="Arial" w:cs="Arial"/>
          <w:b/>
          <w:sz w:val="28"/>
          <w:szCs w:val="28"/>
        </w:rPr>
        <w:t>Original Article</w:t>
      </w:r>
    </w:p>
    <w:p w14:paraId="1CE4EAAD" w14:textId="77777777" w:rsidR="005A6581" w:rsidRDefault="005A6581">
      <w:pPr>
        <w:pBdr>
          <w:top w:val="single" w:sz="36" w:space="0" w:color="000000"/>
          <w:left w:val="nil"/>
          <w:bottom w:val="nil"/>
          <w:right w:val="nil"/>
          <w:between w:val="nil"/>
        </w:pBdr>
        <w:spacing w:before="40"/>
        <w:jc w:val="center"/>
        <w:rPr>
          <w:rFonts w:ascii="Arial" w:eastAsia="Arial" w:hAnsi="Arial" w:cs="Arial"/>
          <w:b/>
          <w:smallCaps/>
          <w:sz w:val="8"/>
          <w:szCs w:val="8"/>
        </w:rPr>
      </w:pPr>
    </w:p>
    <w:p w14:paraId="7DF9D24F" w14:textId="77777777" w:rsidR="005A6581" w:rsidRDefault="005A6581">
      <w:pPr>
        <w:pBdr>
          <w:top w:val="nil"/>
          <w:left w:val="nil"/>
          <w:bottom w:val="nil"/>
          <w:right w:val="nil"/>
          <w:between w:val="nil"/>
        </w:pBdr>
        <w:jc w:val="center"/>
        <w:rPr>
          <w:rFonts w:ascii="Arial" w:eastAsia="Arial" w:hAnsi="Arial" w:cs="Arial"/>
          <w:b/>
          <w:smallCaps/>
        </w:rPr>
      </w:pPr>
    </w:p>
    <w:p w14:paraId="74060DF1" w14:textId="4B588B8D" w:rsidR="005A6581" w:rsidRPr="00627D4A" w:rsidRDefault="0064432F">
      <w:pPr>
        <w:pBdr>
          <w:top w:val="nil"/>
          <w:left w:val="nil"/>
          <w:bottom w:val="nil"/>
          <w:right w:val="nil"/>
          <w:between w:val="nil"/>
        </w:pBdr>
        <w:jc w:val="center"/>
        <w:rPr>
          <w:rFonts w:ascii="Arial" w:eastAsia="Arial" w:hAnsi="Arial" w:cs="Arial"/>
          <w:b/>
          <w:smallCaps/>
        </w:rPr>
      </w:pPr>
      <w:bookmarkStart w:id="0" w:name="_Hlk232674952"/>
      <w:r w:rsidRPr="00627D4A">
        <w:rPr>
          <w:rFonts w:ascii="Arial" w:eastAsia="Arial" w:hAnsi="Arial" w:cs="Arial"/>
          <w:b/>
          <w:smallCaps/>
        </w:rPr>
        <w:t xml:space="preserve">MISOGYNY AND CULTURAL </w:t>
      </w:r>
      <w:r w:rsidR="006A1C32" w:rsidRPr="00627D4A">
        <w:rPr>
          <w:rFonts w:ascii="Arial" w:eastAsia="Arial" w:hAnsi="Arial" w:cs="Arial"/>
          <w:b/>
          <w:smallCaps/>
        </w:rPr>
        <w:t>IMP</w:t>
      </w:r>
      <w:r w:rsidRPr="00627D4A">
        <w:rPr>
          <w:rFonts w:ascii="Arial" w:eastAsia="Arial" w:hAnsi="Arial" w:cs="Arial"/>
          <w:b/>
          <w:smallCaps/>
        </w:rPr>
        <w:t>OVERISHMENT: THE EDUCATIONAL EFFECTS OF SYMBOLIC VIOLENCE AGAINST WOMEN IN SPORTS MEDIA</w:t>
      </w:r>
    </w:p>
    <w:p w14:paraId="2751D076" w14:textId="77777777" w:rsidR="005A6581" w:rsidRPr="00627D4A" w:rsidRDefault="005A6581">
      <w:pPr>
        <w:pBdr>
          <w:top w:val="nil"/>
          <w:left w:val="nil"/>
          <w:bottom w:val="nil"/>
          <w:right w:val="nil"/>
          <w:between w:val="nil"/>
        </w:pBdr>
        <w:jc w:val="center"/>
        <w:rPr>
          <w:rFonts w:ascii="Arial" w:eastAsia="Arial" w:hAnsi="Arial" w:cs="Arial"/>
          <w:b/>
          <w:smallCaps/>
        </w:rPr>
      </w:pPr>
    </w:p>
    <w:p w14:paraId="08B706BA" w14:textId="77777777" w:rsidR="005A6581" w:rsidRPr="00627D4A" w:rsidRDefault="0064432F">
      <w:pPr>
        <w:pBdr>
          <w:top w:val="nil"/>
          <w:left w:val="nil"/>
          <w:bottom w:val="nil"/>
          <w:right w:val="nil"/>
          <w:between w:val="nil"/>
        </w:pBdr>
        <w:jc w:val="center"/>
        <w:rPr>
          <w:rFonts w:ascii="Arial" w:eastAsia="Arial" w:hAnsi="Arial" w:cs="Arial"/>
          <w:b/>
          <w:smallCaps/>
          <w:color w:val="000000"/>
          <w:lang w:val="pt-BR"/>
        </w:rPr>
      </w:pPr>
      <w:r w:rsidRPr="00627D4A">
        <w:rPr>
          <w:rFonts w:ascii="Arial" w:eastAsia="Arial" w:hAnsi="Arial" w:cs="Arial"/>
          <w:b/>
          <w:smallCaps/>
          <w:color w:val="000000"/>
          <w:lang w:val="pt-BR"/>
        </w:rPr>
        <w:t>MISOGINIA E EMPOBRECIMENTO CULTURAL: OS EFEITOS EDUCATIVOS DA VIOLÊNCIA SIMBÓLICA CONTRA AS MULHERES NA MÍDIA ESPORTIVA</w:t>
      </w:r>
    </w:p>
    <w:bookmarkEnd w:id="0"/>
    <w:p w14:paraId="7089C876" w14:textId="77777777" w:rsidR="005A6581" w:rsidRPr="00627D4A" w:rsidRDefault="005A6581">
      <w:pPr>
        <w:pBdr>
          <w:top w:val="nil"/>
          <w:left w:val="nil"/>
          <w:bottom w:val="nil"/>
          <w:right w:val="nil"/>
          <w:between w:val="nil"/>
        </w:pBdr>
        <w:jc w:val="center"/>
        <w:rPr>
          <w:rFonts w:ascii="Arial" w:eastAsia="Arial" w:hAnsi="Arial" w:cs="Arial"/>
          <w:b/>
          <w:smallCaps/>
          <w:color w:val="000000"/>
          <w:lang w:val="pt-BR"/>
        </w:rPr>
      </w:pPr>
    </w:p>
    <w:p w14:paraId="68367D3A" w14:textId="77777777" w:rsidR="00627D4A" w:rsidRPr="00627D4A" w:rsidRDefault="00627D4A" w:rsidP="00627D4A">
      <w:pPr>
        <w:jc w:val="both"/>
        <w:rPr>
          <w:rFonts w:ascii="Arial" w:eastAsia="Arial" w:hAnsi="Arial" w:cs="Arial"/>
          <w:b/>
          <w:sz w:val="18"/>
          <w:szCs w:val="18"/>
          <w:lang w:val="pt-BR"/>
        </w:rPr>
      </w:pPr>
      <w:r w:rsidRPr="00627D4A">
        <w:rPr>
          <w:rFonts w:ascii="Arial" w:eastAsia="Arial" w:hAnsi="Arial" w:cs="Arial"/>
          <w:b/>
          <w:sz w:val="18"/>
          <w:szCs w:val="18"/>
          <w:lang w:val="pt-BR"/>
        </w:rPr>
        <w:t>Paula Bianchi</w:t>
      </w:r>
      <w:r w:rsidRPr="00627D4A">
        <w:rPr>
          <w:rFonts w:ascii="Arial" w:eastAsia="Arial" w:hAnsi="Arial" w:cs="Arial"/>
          <w:b/>
          <w:sz w:val="18"/>
          <w:szCs w:val="18"/>
          <w:vertAlign w:val="superscript"/>
          <w:lang w:val="pt-BR"/>
        </w:rPr>
        <w:t>1</w:t>
      </w:r>
      <w:r w:rsidRPr="00627D4A">
        <w:rPr>
          <w:rFonts w:ascii="Arial" w:eastAsia="Arial" w:hAnsi="Arial" w:cs="Arial"/>
          <w:b/>
          <w:sz w:val="18"/>
          <w:szCs w:val="18"/>
          <w:lang w:val="pt-BR"/>
        </w:rPr>
        <w:t>, Irene Moya-Mata</w:t>
      </w:r>
      <w:r w:rsidRPr="00627D4A">
        <w:rPr>
          <w:rFonts w:ascii="Arial" w:eastAsia="Arial" w:hAnsi="Arial" w:cs="Arial"/>
          <w:b/>
          <w:sz w:val="18"/>
          <w:szCs w:val="18"/>
          <w:vertAlign w:val="superscript"/>
          <w:lang w:val="pt-BR"/>
        </w:rPr>
        <w:t>2</w:t>
      </w:r>
      <w:r w:rsidRPr="00627D4A">
        <w:rPr>
          <w:rFonts w:ascii="Arial" w:eastAsia="Arial" w:hAnsi="Arial" w:cs="Arial"/>
          <w:b/>
          <w:sz w:val="18"/>
          <w:szCs w:val="18"/>
          <w:lang w:val="pt-BR"/>
        </w:rPr>
        <w:t>,</w:t>
      </w:r>
      <w:r w:rsidRPr="00627D4A">
        <w:rPr>
          <w:rFonts w:ascii="Arial" w:eastAsia="Arial" w:hAnsi="Arial" w:cs="Arial"/>
          <w:b/>
          <w:sz w:val="18"/>
          <w:szCs w:val="18"/>
          <w:vertAlign w:val="superscript"/>
          <w:lang w:val="pt-BR"/>
        </w:rPr>
        <w:t xml:space="preserve"> </w:t>
      </w:r>
      <w:r w:rsidRPr="00627D4A">
        <w:rPr>
          <w:rFonts w:ascii="Arial" w:eastAsia="Arial" w:hAnsi="Arial" w:cs="Arial"/>
          <w:b/>
          <w:sz w:val="18"/>
          <w:szCs w:val="18"/>
          <w:lang w:val="pt-BR"/>
        </w:rPr>
        <w:t>Helena Altmann</w:t>
      </w:r>
      <w:r w:rsidRPr="00627D4A">
        <w:rPr>
          <w:rFonts w:ascii="Arial" w:eastAsia="Arial" w:hAnsi="Arial" w:cs="Arial"/>
          <w:b/>
          <w:sz w:val="18"/>
          <w:szCs w:val="18"/>
          <w:vertAlign w:val="superscript"/>
          <w:lang w:val="pt-BR"/>
        </w:rPr>
        <w:t>3</w:t>
      </w:r>
      <w:r w:rsidRPr="00627D4A">
        <w:rPr>
          <w:rFonts w:ascii="Arial" w:eastAsia="Arial" w:hAnsi="Arial" w:cs="Arial"/>
          <w:b/>
          <w:sz w:val="18"/>
          <w:szCs w:val="18"/>
          <w:lang w:val="pt-BR"/>
        </w:rPr>
        <w:t>,</w:t>
      </w:r>
      <w:r w:rsidRPr="00627D4A">
        <w:rPr>
          <w:rFonts w:ascii="Arial" w:eastAsia="Arial" w:hAnsi="Arial" w:cs="Arial"/>
          <w:b/>
          <w:sz w:val="18"/>
          <w:szCs w:val="18"/>
          <w:vertAlign w:val="superscript"/>
          <w:lang w:val="pt-BR"/>
        </w:rPr>
        <w:t xml:space="preserve"> </w:t>
      </w:r>
      <w:r w:rsidRPr="00627D4A">
        <w:rPr>
          <w:rFonts w:ascii="Arial" w:eastAsia="Arial" w:hAnsi="Arial" w:cs="Arial"/>
          <w:b/>
          <w:sz w:val="18"/>
          <w:szCs w:val="18"/>
          <w:lang w:val="pt-BR"/>
        </w:rPr>
        <w:t>Ruth Cabeza-Ruiz</w:t>
      </w:r>
      <w:r w:rsidRPr="00627D4A">
        <w:rPr>
          <w:rFonts w:ascii="Arial" w:eastAsia="Arial" w:hAnsi="Arial" w:cs="Arial"/>
          <w:b/>
          <w:sz w:val="18"/>
          <w:szCs w:val="18"/>
          <w:vertAlign w:val="superscript"/>
          <w:lang w:val="pt-BR"/>
        </w:rPr>
        <w:t>1</w:t>
      </w:r>
    </w:p>
    <w:p w14:paraId="0D6F0A51" w14:textId="77777777" w:rsidR="00627D4A" w:rsidRPr="00627D4A" w:rsidRDefault="00627D4A" w:rsidP="00627D4A">
      <w:pPr>
        <w:jc w:val="both"/>
        <w:rPr>
          <w:rFonts w:ascii="Arial" w:eastAsia="Arial" w:hAnsi="Arial" w:cs="Arial"/>
          <w:sz w:val="18"/>
          <w:szCs w:val="18"/>
          <w:lang w:val="pt-BR"/>
        </w:rPr>
      </w:pPr>
    </w:p>
    <w:p w14:paraId="77EB7CA5" w14:textId="32A82803" w:rsidR="00627D4A" w:rsidRPr="00627D4A" w:rsidRDefault="00627D4A" w:rsidP="00627D4A">
      <w:pPr>
        <w:jc w:val="right"/>
        <w:rPr>
          <w:rFonts w:ascii="Arial" w:eastAsia="Arial" w:hAnsi="Arial" w:cs="Arial"/>
          <w:sz w:val="18"/>
          <w:szCs w:val="18"/>
          <w:lang w:val="en-US"/>
        </w:rPr>
      </w:pPr>
      <w:r w:rsidRPr="00627D4A">
        <w:rPr>
          <w:rFonts w:ascii="Arial" w:eastAsia="Arial" w:hAnsi="Arial" w:cs="Arial"/>
          <w:sz w:val="18"/>
          <w:szCs w:val="18"/>
          <w:vertAlign w:val="superscript"/>
          <w:lang w:val="en-US"/>
        </w:rPr>
        <w:t>1</w:t>
      </w:r>
      <w:r w:rsidRPr="00627D4A">
        <w:rPr>
          <w:rFonts w:ascii="Arial" w:eastAsia="Arial" w:hAnsi="Arial" w:cs="Arial"/>
          <w:sz w:val="18"/>
          <w:szCs w:val="18"/>
          <w:lang w:val="en-US"/>
        </w:rPr>
        <w:t>Uni</w:t>
      </w:r>
      <w:r w:rsidRPr="00627D4A">
        <w:rPr>
          <w:rFonts w:ascii="Arial" w:eastAsia="Arial" w:hAnsi="Arial" w:cs="Arial"/>
          <w:sz w:val="18"/>
          <w:szCs w:val="18"/>
          <w:lang w:val="en-US"/>
        </w:rPr>
        <w:t>versity of</w:t>
      </w:r>
      <w:r w:rsidRPr="00627D4A">
        <w:rPr>
          <w:rFonts w:ascii="Arial" w:eastAsia="Arial" w:hAnsi="Arial" w:cs="Arial"/>
          <w:sz w:val="18"/>
          <w:szCs w:val="18"/>
          <w:lang w:val="en-US"/>
        </w:rPr>
        <w:t xml:space="preserve"> Sevilla, Sevilla, </w:t>
      </w:r>
      <w:r w:rsidRPr="00627D4A">
        <w:rPr>
          <w:rFonts w:ascii="Arial" w:eastAsia="Arial" w:hAnsi="Arial" w:cs="Arial"/>
          <w:sz w:val="18"/>
          <w:szCs w:val="18"/>
          <w:lang w:val="en-US"/>
        </w:rPr>
        <w:t>Spain</w:t>
      </w:r>
      <w:r w:rsidRPr="00627D4A">
        <w:rPr>
          <w:rFonts w:ascii="Arial" w:eastAsia="Arial" w:hAnsi="Arial" w:cs="Arial"/>
          <w:sz w:val="18"/>
          <w:szCs w:val="18"/>
          <w:lang w:val="en-US"/>
        </w:rPr>
        <w:t>.</w:t>
      </w:r>
    </w:p>
    <w:p w14:paraId="2019C120" w14:textId="236352E5" w:rsidR="00627D4A" w:rsidRPr="00627D4A" w:rsidRDefault="00627D4A" w:rsidP="00627D4A">
      <w:pPr>
        <w:jc w:val="right"/>
        <w:rPr>
          <w:rFonts w:ascii="Arial" w:eastAsia="Arial" w:hAnsi="Arial" w:cs="Arial"/>
          <w:sz w:val="18"/>
          <w:szCs w:val="18"/>
          <w:lang w:val="en-US"/>
        </w:rPr>
      </w:pPr>
      <w:r w:rsidRPr="00627D4A">
        <w:rPr>
          <w:rFonts w:ascii="Arial" w:eastAsia="Arial" w:hAnsi="Arial" w:cs="Arial"/>
          <w:sz w:val="18"/>
          <w:szCs w:val="18"/>
          <w:vertAlign w:val="superscript"/>
          <w:lang w:val="en-US"/>
        </w:rPr>
        <w:t>2</w:t>
      </w:r>
      <w:r w:rsidRPr="00627D4A">
        <w:rPr>
          <w:rFonts w:ascii="Arial" w:eastAsia="Arial" w:hAnsi="Arial" w:cs="Arial"/>
          <w:sz w:val="18"/>
          <w:szCs w:val="18"/>
          <w:lang w:val="en-US"/>
        </w:rPr>
        <w:t>Univers</w:t>
      </w:r>
      <w:r w:rsidRPr="00627D4A">
        <w:rPr>
          <w:rFonts w:ascii="Arial" w:eastAsia="Arial" w:hAnsi="Arial" w:cs="Arial"/>
          <w:sz w:val="18"/>
          <w:szCs w:val="18"/>
          <w:lang w:val="en-US"/>
        </w:rPr>
        <w:t>ity</w:t>
      </w:r>
      <w:r w:rsidRPr="00627D4A">
        <w:rPr>
          <w:rFonts w:ascii="Arial" w:eastAsia="Arial" w:hAnsi="Arial" w:cs="Arial"/>
          <w:sz w:val="18"/>
          <w:szCs w:val="18"/>
          <w:lang w:val="en-US"/>
        </w:rPr>
        <w:t xml:space="preserve"> </w:t>
      </w:r>
      <w:r w:rsidRPr="00627D4A">
        <w:rPr>
          <w:rFonts w:ascii="Arial" w:eastAsia="Arial" w:hAnsi="Arial" w:cs="Arial"/>
          <w:sz w:val="18"/>
          <w:szCs w:val="18"/>
          <w:lang w:val="en-US"/>
        </w:rPr>
        <w:t>of</w:t>
      </w:r>
      <w:r w:rsidRPr="00627D4A">
        <w:rPr>
          <w:rFonts w:ascii="Arial" w:eastAsia="Arial" w:hAnsi="Arial" w:cs="Arial"/>
          <w:sz w:val="18"/>
          <w:szCs w:val="18"/>
          <w:lang w:val="en-US"/>
        </w:rPr>
        <w:t xml:space="preserve"> Valencia, Valencia, </w:t>
      </w:r>
      <w:r w:rsidRPr="00627D4A">
        <w:rPr>
          <w:rFonts w:ascii="Arial" w:eastAsia="Arial" w:hAnsi="Arial" w:cs="Arial"/>
          <w:sz w:val="18"/>
          <w:szCs w:val="18"/>
          <w:lang w:val="en-US"/>
        </w:rPr>
        <w:t>Spain</w:t>
      </w:r>
      <w:r w:rsidRPr="00627D4A">
        <w:rPr>
          <w:rFonts w:ascii="Arial" w:eastAsia="Arial" w:hAnsi="Arial" w:cs="Arial"/>
          <w:sz w:val="18"/>
          <w:szCs w:val="18"/>
          <w:lang w:val="en-US"/>
        </w:rPr>
        <w:t>.</w:t>
      </w:r>
    </w:p>
    <w:p w14:paraId="4EB1EE8C" w14:textId="5A2F69B1" w:rsidR="005A6581" w:rsidRPr="00627D4A" w:rsidRDefault="00627D4A" w:rsidP="00627D4A">
      <w:pPr>
        <w:jc w:val="right"/>
        <w:rPr>
          <w:rFonts w:ascii="Arial" w:eastAsia="Arial" w:hAnsi="Arial" w:cs="Arial"/>
          <w:sz w:val="18"/>
          <w:szCs w:val="18"/>
          <w:lang w:val="en-US"/>
        </w:rPr>
      </w:pPr>
      <w:r w:rsidRPr="00627D4A">
        <w:rPr>
          <w:rFonts w:ascii="Arial" w:eastAsia="Arial" w:hAnsi="Arial" w:cs="Arial"/>
          <w:sz w:val="18"/>
          <w:szCs w:val="18"/>
          <w:vertAlign w:val="superscript"/>
          <w:lang w:val="en-US"/>
        </w:rPr>
        <w:t>3</w:t>
      </w:r>
      <w:r w:rsidRPr="00627D4A">
        <w:rPr>
          <w:rFonts w:ascii="Arial" w:eastAsia="Arial" w:hAnsi="Arial" w:cs="Arial"/>
          <w:sz w:val="18"/>
          <w:szCs w:val="18"/>
          <w:lang w:val="en-US"/>
        </w:rPr>
        <w:t>State University of</w:t>
      </w:r>
      <w:r w:rsidRPr="00627D4A">
        <w:rPr>
          <w:rFonts w:ascii="Arial" w:eastAsia="Arial" w:hAnsi="Arial" w:cs="Arial"/>
          <w:sz w:val="18"/>
          <w:szCs w:val="18"/>
          <w:lang w:val="en-US"/>
        </w:rPr>
        <w:t xml:space="preserve"> Campinas, Campinas-SP, Bra</w:t>
      </w:r>
      <w:r w:rsidRPr="00627D4A">
        <w:rPr>
          <w:rFonts w:ascii="Arial" w:eastAsia="Arial" w:hAnsi="Arial" w:cs="Arial"/>
          <w:sz w:val="18"/>
          <w:szCs w:val="18"/>
          <w:lang w:val="en-US"/>
        </w:rPr>
        <w:t>zi</w:t>
      </w:r>
      <w:r w:rsidRPr="00627D4A">
        <w:rPr>
          <w:rFonts w:ascii="Arial" w:eastAsia="Arial" w:hAnsi="Arial" w:cs="Arial"/>
          <w:sz w:val="18"/>
          <w:szCs w:val="18"/>
          <w:lang w:val="en-US"/>
        </w:rPr>
        <w:t>l.</w:t>
      </w:r>
    </w:p>
    <w:p w14:paraId="1B1944DB" w14:textId="77777777" w:rsidR="005A6581" w:rsidRPr="00627D4A" w:rsidRDefault="0064432F">
      <w:pPr>
        <w:pBdr>
          <w:top w:val="single" w:sz="18" w:space="6" w:color="000000"/>
          <w:left w:val="nil"/>
          <w:bottom w:val="nil"/>
          <w:right w:val="nil"/>
          <w:between w:val="nil"/>
        </w:pBdr>
        <w:jc w:val="both"/>
        <w:rPr>
          <w:color w:val="000000"/>
          <w:sz w:val="18"/>
          <w:szCs w:val="18"/>
        </w:rPr>
      </w:pPr>
      <w:r w:rsidRPr="00627D4A">
        <w:rPr>
          <w:b/>
          <w:color w:val="000000"/>
          <w:sz w:val="20"/>
          <w:szCs w:val="20"/>
        </w:rPr>
        <w:t>ABSTRACT</w:t>
      </w:r>
    </w:p>
    <w:p w14:paraId="337350CA" w14:textId="08814C06" w:rsidR="005A6581" w:rsidRPr="00627D4A" w:rsidRDefault="0064432F">
      <w:pPr>
        <w:jc w:val="both"/>
        <w:rPr>
          <w:sz w:val="18"/>
          <w:szCs w:val="18"/>
        </w:rPr>
      </w:pPr>
      <w:r w:rsidRPr="00627D4A">
        <w:rPr>
          <w:sz w:val="18"/>
          <w:szCs w:val="18"/>
        </w:rPr>
        <w:t>The media not only inform but also educate, shaping social imaginaries that influence the construction of identities, aspirations, and role models</w:t>
      </w:r>
      <w:r w:rsidR="00734F95" w:rsidRPr="00627D4A">
        <w:rPr>
          <w:sz w:val="18"/>
          <w:szCs w:val="18"/>
        </w:rPr>
        <w:t>, especially</w:t>
      </w:r>
      <w:r w:rsidR="00771D7B" w:rsidRPr="00627D4A">
        <w:rPr>
          <w:sz w:val="18"/>
          <w:szCs w:val="18"/>
        </w:rPr>
        <w:t xml:space="preserve"> during childhood and adolescence</w:t>
      </w:r>
      <w:r w:rsidRPr="00627D4A">
        <w:rPr>
          <w:sz w:val="18"/>
          <w:szCs w:val="18"/>
        </w:rPr>
        <w:t>. However, despite the increasing participation of women in sports at all levels, female athletes remain underrepresented in the print media. This article analyses the representation of women’s sport in t</w:t>
      </w:r>
      <w:r w:rsidR="00A252E1" w:rsidRPr="00627D4A">
        <w:rPr>
          <w:sz w:val="18"/>
          <w:szCs w:val="18"/>
        </w:rPr>
        <w:t xml:space="preserve">wo </w:t>
      </w:r>
      <w:r w:rsidRPr="00627D4A">
        <w:rPr>
          <w:sz w:val="18"/>
          <w:szCs w:val="18"/>
        </w:rPr>
        <w:t xml:space="preserve">Spanish </w:t>
      </w:r>
      <w:r w:rsidR="00771D7B" w:rsidRPr="00627D4A">
        <w:rPr>
          <w:sz w:val="18"/>
          <w:szCs w:val="18"/>
        </w:rPr>
        <w:t>sport newspaper</w:t>
      </w:r>
      <w:r w:rsidRPr="00627D4A">
        <w:rPr>
          <w:sz w:val="18"/>
          <w:szCs w:val="18"/>
        </w:rPr>
        <w:t xml:space="preserve"> (</w:t>
      </w:r>
      <w:r w:rsidRPr="00627D4A">
        <w:rPr>
          <w:i/>
          <w:sz w:val="18"/>
          <w:szCs w:val="18"/>
        </w:rPr>
        <w:t>Marca</w:t>
      </w:r>
      <w:r w:rsidRPr="00627D4A">
        <w:rPr>
          <w:sz w:val="18"/>
          <w:szCs w:val="18"/>
        </w:rPr>
        <w:t xml:space="preserve"> and </w:t>
      </w:r>
      <w:proofErr w:type="spellStart"/>
      <w:r w:rsidRPr="00627D4A">
        <w:rPr>
          <w:i/>
          <w:sz w:val="18"/>
          <w:szCs w:val="18"/>
        </w:rPr>
        <w:t>Diario</w:t>
      </w:r>
      <w:proofErr w:type="spellEnd"/>
      <w:r w:rsidRPr="00627D4A">
        <w:rPr>
          <w:i/>
          <w:sz w:val="18"/>
          <w:szCs w:val="18"/>
        </w:rPr>
        <w:t xml:space="preserve"> AS</w:t>
      </w:r>
      <w:r w:rsidRPr="00627D4A">
        <w:rPr>
          <w:sz w:val="18"/>
          <w:szCs w:val="18"/>
        </w:rPr>
        <w:t xml:space="preserve">) during the first quarter of 2025, aiming to identify forms of exclusion and symbolic violence in media portrayals of female athletes. Using a mixed-methods approach, 60 front pages and 415 headlines were analysed. Women’s sport appeared in only 37% of the material reviewed, and headlines specifically referring to female athletes accounted for just 7%. Beyond their limited visibility, both textual and visual narratives reinforce gender stereotypes and forms of symbolic violence. </w:t>
      </w:r>
      <w:r w:rsidR="00771D7B" w:rsidRPr="00627D4A">
        <w:rPr>
          <w:sz w:val="18"/>
          <w:szCs w:val="18"/>
        </w:rPr>
        <w:t>The study highlights the need to incorporate media literacy with a feminist perspective into teacher educ</w:t>
      </w:r>
      <w:r w:rsidR="00BD5829" w:rsidRPr="00627D4A">
        <w:rPr>
          <w:sz w:val="18"/>
          <w:szCs w:val="18"/>
        </w:rPr>
        <w:t>ation at all levels and school Physical E</w:t>
      </w:r>
      <w:r w:rsidR="00771D7B" w:rsidRPr="00627D4A">
        <w:rPr>
          <w:sz w:val="18"/>
          <w:szCs w:val="18"/>
        </w:rPr>
        <w:t>ducation in order to foster critical awareness of these discourses and promote</w:t>
      </w:r>
      <w:r w:rsidRPr="00627D4A">
        <w:rPr>
          <w:sz w:val="18"/>
          <w:szCs w:val="18"/>
        </w:rPr>
        <w:t xml:space="preserve"> a more equitable sports culture.</w:t>
      </w:r>
    </w:p>
    <w:p w14:paraId="69EF16F1" w14:textId="0DE62554" w:rsidR="005A6581" w:rsidRPr="00627D4A" w:rsidRDefault="0064432F">
      <w:pPr>
        <w:rPr>
          <w:sz w:val="18"/>
          <w:szCs w:val="18"/>
          <w:lang w:val="pt-BR"/>
        </w:rPr>
      </w:pPr>
      <w:r w:rsidRPr="00627D4A">
        <w:rPr>
          <w:b/>
          <w:sz w:val="18"/>
          <w:szCs w:val="18"/>
        </w:rPr>
        <w:t>Keywords</w:t>
      </w:r>
      <w:r w:rsidRPr="00627D4A">
        <w:rPr>
          <w:sz w:val="18"/>
          <w:szCs w:val="18"/>
        </w:rPr>
        <w:t xml:space="preserve">: Women. Sport. Mass media. </w:t>
      </w:r>
      <w:proofErr w:type="spellStart"/>
      <w:r w:rsidR="007973A9">
        <w:rPr>
          <w:sz w:val="18"/>
          <w:szCs w:val="18"/>
          <w:lang w:val="pt-BR"/>
        </w:rPr>
        <w:t>Newspapers</w:t>
      </w:r>
      <w:proofErr w:type="spellEnd"/>
      <w:r w:rsidR="00771D7B" w:rsidRPr="00627D4A">
        <w:rPr>
          <w:sz w:val="18"/>
          <w:szCs w:val="18"/>
          <w:lang w:val="pt-BR"/>
        </w:rPr>
        <w:t xml:space="preserve">. </w:t>
      </w:r>
      <w:proofErr w:type="spellStart"/>
      <w:r w:rsidR="00771D7B" w:rsidRPr="00627D4A">
        <w:rPr>
          <w:sz w:val="18"/>
          <w:szCs w:val="18"/>
          <w:lang w:val="pt-BR"/>
        </w:rPr>
        <w:t>Symbolic</w:t>
      </w:r>
      <w:proofErr w:type="spellEnd"/>
      <w:r w:rsidR="00771D7B" w:rsidRPr="00627D4A">
        <w:rPr>
          <w:sz w:val="18"/>
          <w:szCs w:val="18"/>
          <w:lang w:val="pt-BR"/>
        </w:rPr>
        <w:t xml:space="preserve"> </w:t>
      </w:r>
      <w:proofErr w:type="spellStart"/>
      <w:r w:rsidR="00771D7B" w:rsidRPr="00627D4A">
        <w:rPr>
          <w:sz w:val="18"/>
          <w:szCs w:val="18"/>
          <w:lang w:val="pt-BR"/>
        </w:rPr>
        <w:t>violence</w:t>
      </w:r>
      <w:proofErr w:type="spellEnd"/>
      <w:r w:rsidRPr="00627D4A">
        <w:rPr>
          <w:sz w:val="18"/>
          <w:szCs w:val="18"/>
          <w:lang w:val="pt-BR"/>
        </w:rPr>
        <w:t xml:space="preserve">. </w:t>
      </w:r>
      <w:proofErr w:type="spellStart"/>
      <w:r w:rsidRPr="00627D4A">
        <w:rPr>
          <w:sz w:val="18"/>
          <w:szCs w:val="18"/>
          <w:lang w:val="pt-BR"/>
        </w:rPr>
        <w:t>Exclusion</w:t>
      </w:r>
      <w:proofErr w:type="spellEnd"/>
      <w:r w:rsidRPr="00627D4A">
        <w:rPr>
          <w:sz w:val="18"/>
          <w:szCs w:val="18"/>
          <w:lang w:val="pt-BR"/>
        </w:rPr>
        <w:t>.</w:t>
      </w:r>
    </w:p>
    <w:p w14:paraId="14501949" w14:textId="77777777" w:rsidR="005A6581" w:rsidRPr="00627D4A" w:rsidRDefault="005A6581">
      <w:pPr>
        <w:pBdr>
          <w:top w:val="nil"/>
          <w:left w:val="nil"/>
          <w:bottom w:val="single" w:sz="18" w:space="0" w:color="000000"/>
          <w:right w:val="nil"/>
          <w:between w:val="nil"/>
        </w:pBdr>
        <w:jc w:val="both"/>
        <w:rPr>
          <w:sz w:val="18"/>
          <w:szCs w:val="18"/>
          <w:lang w:val="pt-BR"/>
        </w:rPr>
      </w:pPr>
    </w:p>
    <w:p w14:paraId="5FE6B10D" w14:textId="77777777" w:rsidR="005A6581" w:rsidRPr="00627D4A" w:rsidRDefault="0064432F">
      <w:pPr>
        <w:pBdr>
          <w:top w:val="single" w:sz="18" w:space="6" w:color="000000"/>
          <w:left w:val="nil"/>
          <w:bottom w:val="nil"/>
          <w:right w:val="nil"/>
          <w:between w:val="nil"/>
        </w:pBdr>
        <w:spacing w:before="240"/>
        <w:jc w:val="both"/>
        <w:rPr>
          <w:b/>
          <w:color w:val="000000"/>
          <w:sz w:val="20"/>
          <w:szCs w:val="20"/>
          <w:lang w:val="pt-BR"/>
        </w:rPr>
      </w:pPr>
      <w:r w:rsidRPr="00627D4A">
        <w:rPr>
          <w:b/>
          <w:color w:val="000000"/>
          <w:sz w:val="20"/>
          <w:szCs w:val="20"/>
          <w:lang w:val="pt-BR"/>
        </w:rPr>
        <w:t>RESUMO</w:t>
      </w:r>
    </w:p>
    <w:p w14:paraId="30232E05" w14:textId="4A350F35" w:rsidR="005A6581" w:rsidRPr="00627D4A" w:rsidRDefault="007E145A" w:rsidP="007E145A">
      <w:pPr>
        <w:jc w:val="both"/>
        <w:rPr>
          <w:sz w:val="18"/>
          <w:szCs w:val="18"/>
          <w:lang w:val="pt-BR"/>
        </w:rPr>
      </w:pPr>
      <w:r w:rsidRPr="00627D4A">
        <w:rPr>
          <w:sz w:val="18"/>
          <w:szCs w:val="18"/>
          <w:lang w:val="pt-BR"/>
        </w:rPr>
        <w:t xml:space="preserve">Os meios de comunicação não apenas informam, mas também educam, moldando imaginários sociais que influenciam a construção de identidades, aspirações e referências, especialmente durante a infância e a adolescência. No entanto, apesar do aumento da participação das mulheres nas atividades esportivas em todos os níveis, as atletas continuam sendo </w:t>
      </w:r>
      <w:proofErr w:type="spellStart"/>
      <w:r w:rsidRPr="00627D4A">
        <w:rPr>
          <w:sz w:val="18"/>
          <w:szCs w:val="18"/>
          <w:lang w:val="pt-BR"/>
        </w:rPr>
        <w:t>sub-representadas</w:t>
      </w:r>
      <w:proofErr w:type="spellEnd"/>
      <w:r w:rsidRPr="00627D4A">
        <w:rPr>
          <w:sz w:val="18"/>
          <w:szCs w:val="18"/>
          <w:lang w:val="pt-BR"/>
        </w:rPr>
        <w:t xml:space="preserve"> na imprensa esportiva, especialmente na mídia impressa. O presente artigo analisa a representação do esporte feminino em dois jornais esportivos espanhóis (</w:t>
      </w:r>
      <w:r w:rsidRPr="00627D4A">
        <w:rPr>
          <w:i/>
          <w:iCs/>
          <w:sz w:val="18"/>
          <w:szCs w:val="18"/>
          <w:lang w:val="pt-BR"/>
        </w:rPr>
        <w:t>Marca</w:t>
      </w:r>
      <w:r w:rsidRPr="00627D4A">
        <w:rPr>
          <w:sz w:val="18"/>
          <w:szCs w:val="18"/>
          <w:lang w:val="pt-BR"/>
        </w:rPr>
        <w:t xml:space="preserve"> e </w:t>
      </w:r>
      <w:proofErr w:type="spellStart"/>
      <w:r w:rsidRPr="00627D4A">
        <w:rPr>
          <w:i/>
          <w:iCs/>
          <w:sz w:val="18"/>
          <w:szCs w:val="18"/>
          <w:lang w:val="pt-BR"/>
        </w:rPr>
        <w:t>Diario</w:t>
      </w:r>
      <w:proofErr w:type="spellEnd"/>
      <w:r w:rsidRPr="00627D4A">
        <w:rPr>
          <w:i/>
          <w:iCs/>
          <w:sz w:val="18"/>
          <w:szCs w:val="18"/>
          <w:lang w:val="pt-BR"/>
        </w:rPr>
        <w:t xml:space="preserve"> AS</w:t>
      </w:r>
      <w:r w:rsidRPr="00627D4A">
        <w:rPr>
          <w:sz w:val="18"/>
          <w:szCs w:val="18"/>
          <w:lang w:val="pt-BR"/>
        </w:rPr>
        <w:t>) durante o primeiro trimestre de 2025, com o objetivo de identificar formas de exclusão e violência simbólica associadas ao tratamento midiático das atletas. Por meio de uma abordagem de métodos mistos, foram analisadas 60 capas e 415 manchetes. O esporte feminino apareceu em apenas 37% do material analisado, e as manchetes especificamente relacionadas às atletas representaram apenas 7%. Além da baixa visibilidade, as narrativas textuais e visuais reforçam estereótipos de gênero e formas de violência simbólica. O estudo destaca a necessidade de incorporar a alfabetização midiática com perspectiva feminista na formação docente em todos os níveis de ensino e na Educação Física escolar, a fim de desenvolver uma consciência crítica sobre esses discursos e promover uma cultura esportiva mais equitativa.</w:t>
      </w:r>
      <w:r w:rsidR="0064432F" w:rsidRPr="00627D4A">
        <w:rPr>
          <w:sz w:val="18"/>
          <w:szCs w:val="18"/>
          <w:lang w:val="pt-BR"/>
        </w:rPr>
        <w:t xml:space="preserve"> </w:t>
      </w:r>
    </w:p>
    <w:p w14:paraId="50A937AD" w14:textId="0230C9FD" w:rsidR="005A6581" w:rsidRPr="00627D4A" w:rsidRDefault="0064432F">
      <w:pPr>
        <w:pBdr>
          <w:top w:val="nil"/>
          <w:left w:val="nil"/>
          <w:bottom w:val="single" w:sz="18" w:space="0" w:color="000000"/>
          <w:right w:val="nil"/>
          <w:between w:val="nil"/>
        </w:pBdr>
        <w:ind w:left="851" w:hanging="851"/>
        <w:jc w:val="both"/>
        <w:rPr>
          <w:sz w:val="18"/>
          <w:szCs w:val="18"/>
          <w:lang w:val="en-US"/>
        </w:rPr>
      </w:pPr>
      <w:bookmarkStart w:id="1" w:name="_heading=h.j2vignfboi81" w:colFirst="0" w:colLast="0"/>
      <w:bookmarkEnd w:id="1"/>
      <w:r w:rsidRPr="00627D4A">
        <w:rPr>
          <w:b/>
          <w:color w:val="000000"/>
          <w:sz w:val="18"/>
          <w:szCs w:val="18"/>
          <w:lang w:val="pt-BR"/>
        </w:rPr>
        <w:t>Palavras-chave</w:t>
      </w:r>
      <w:r w:rsidRPr="00627D4A">
        <w:rPr>
          <w:color w:val="000000"/>
          <w:sz w:val="18"/>
          <w:szCs w:val="18"/>
          <w:lang w:val="pt-BR"/>
        </w:rPr>
        <w:t xml:space="preserve">: </w:t>
      </w:r>
      <w:r w:rsidRPr="00627D4A">
        <w:rPr>
          <w:sz w:val="18"/>
          <w:szCs w:val="18"/>
          <w:lang w:val="pt-BR"/>
        </w:rPr>
        <w:t xml:space="preserve">Mulheres. Esporte. Mídia de massa. </w:t>
      </w:r>
      <w:proofErr w:type="spellStart"/>
      <w:r w:rsidRPr="00627D4A">
        <w:rPr>
          <w:sz w:val="18"/>
          <w:szCs w:val="18"/>
          <w:lang w:val="en-US"/>
        </w:rPr>
        <w:t>Jornais</w:t>
      </w:r>
      <w:proofErr w:type="spellEnd"/>
      <w:r w:rsidRPr="00627D4A">
        <w:rPr>
          <w:sz w:val="18"/>
          <w:szCs w:val="18"/>
          <w:lang w:val="en-US"/>
        </w:rPr>
        <w:t xml:space="preserve">. </w:t>
      </w:r>
      <w:proofErr w:type="spellStart"/>
      <w:r w:rsidR="005148C7" w:rsidRPr="00627D4A">
        <w:rPr>
          <w:sz w:val="18"/>
          <w:szCs w:val="18"/>
          <w:lang w:val="en-US"/>
        </w:rPr>
        <w:t>Violência</w:t>
      </w:r>
      <w:proofErr w:type="spellEnd"/>
      <w:r w:rsidR="005148C7" w:rsidRPr="00627D4A">
        <w:rPr>
          <w:sz w:val="18"/>
          <w:szCs w:val="18"/>
          <w:lang w:val="en-US"/>
        </w:rPr>
        <w:t xml:space="preserve"> </w:t>
      </w:r>
      <w:proofErr w:type="spellStart"/>
      <w:r w:rsidR="005148C7" w:rsidRPr="00627D4A">
        <w:rPr>
          <w:sz w:val="18"/>
          <w:szCs w:val="18"/>
          <w:lang w:val="en-US"/>
        </w:rPr>
        <w:t>simbólica</w:t>
      </w:r>
      <w:proofErr w:type="spellEnd"/>
      <w:r w:rsidR="005148C7" w:rsidRPr="00627D4A">
        <w:rPr>
          <w:sz w:val="18"/>
          <w:szCs w:val="18"/>
          <w:lang w:val="en-US"/>
        </w:rPr>
        <w:t xml:space="preserve">. </w:t>
      </w:r>
      <w:proofErr w:type="spellStart"/>
      <w:r w:rsidRPr="00627D4A">
        <w:rPr>
          <w:sz w:val="18"/>
          <w:szCs w:val="18"/>
          <w:lang w:val="en-US"/>
        </w:rPr>
        <w:t>Exclusão</w:t>
      </w:r>
      <w:proofErr w:type="spellEnd"/>
      <w:r w:rsidRPr="00627D4A">
        <w:rPr>
          <w:sz w:val="18"/>
          <w:szCs w:val="18"/>
          <w:lang w:val="en-US"/>
        </w:rPr>
        <w:t>.</w:t>
      </w:r>
    </w:p>
    <w:p w14:paraId="06C9DB17" w14:textId="77777777" w:rsidR="005A6581" w:rsidRPr="00627D4A" w:rsidRDefault="005A6581">
      <w:pPr>
        <w:jc w:val="both"/>
        <w:rPr>
          <w:sz w:val="18"/>
          <w:szCs w:val="18"/>
        </w:rPr>
      </w:pPr>
    </w:p>
    <w:p w14:paraId="7433647C" w14:textId="77777777" w:rsidR="00AE0990" w:rsidRPr="00627D4A" w:rsidRDefault="00AE0990" w:rsidP="00AE0990">
      <w:pPr>
        <w:pBdr>
          <w:top w:val="nil"/>
          <w:left w:val="nil"/>
          <w:bottom w:val="nil"/>
          <w:right w:val="nil"/>
          <w:between w:val="nil"/>
        </w:pBdr>
        <w:rPr>
          <w:bCs/>
          <w:color w:val="000000"/>
        </w:rPr>
      </w:pPr>
    </w:p>
    <w:p w14:paraId="17CAC900" w14:textId="775E7696" w:rsidR="005A6581" w:rsidRPr="00627D4A" w:rsidRDefault="0064432F" w:rsidP="00AE0990">
      <w:pPr>
        <w:pBdr>
          <w:top w:val="nil"/>
          <w:left w:val="nil"/>
          <w:bottom w:val="nil"/>
          <w:right w:val="nil"/>
          <w:between w:val="nil"/>
        </w:pBdr>
        <w:rPr>
          <w:b/>
          <w:color w:val="000000"/>
        </w:rPr>
      </w:pPr>
      <w:r w:rsidRPr="00627D4A">
        <w:rPr>
          <w:b/>
          <w:color w:val="000000"/>
        </w:rPr>
        <w:t>Introduction</w:t>
      </w:r>
    </w:p>
    <w:p w14:paraId="598DB8C6" w14:textId="77777777" w:rsidR="005A6581" w:rsidRPr="005B61F8" w:rsidRDefault="005A6581">
      <w:pPr>
        <w:pBdr>
          <w:top w:val="nil"/>
          <w:left w:val="nil"/>
          <w:bottom w:val="nil"/>
          <w:right w:val="nil"/>
          <w:between w:val="nil"/>
        </w:pBdr>
        <w:rPr>
          <w:b/>
        </w:rPr>
      </w:pPr>
    </w:p>
    <w:p w14:paraId="2CF6717A" w14:textId="77777777" w:rsidR="005A6581" w:rsidRPr="00627D4A" w:rsidRDefault="0064432F">
      <w:pPr>
        <w:ind w:firstLine="720"/>
        <w:jc w:val="both"/>
      </w:pPr>
      <w:r w:rsidRPr="005B61F8">
        <w:t xml:space="preserve">The Paris </w:t>
      </w:r>
      <w:r w:rsidRPr="00627D4A">
        <w:t>2024 Olympic Games marked a historic milestone by achieving gender parity in the participation of women and men across all disciplines in the Olympic programme</w:t>
      </w:r>
      <w:r w:rsidRPr="00627D4A">
        <w:rPr>
          <w:vertAlign w:val="superscript"/>
        </w:rPr>
        <w:t>1</w:t>
      </w:r>
      <w:r w:rsidRPr="00627D4A">
        <w:t>. However, despite this progress, female athletes still do not receive the same media or social recognition for their achievements and successes. These are frequently overlooked or downplayed in specialist sports journalism</w:t>
      </w:r>
      <w:r w:rsidRPr="00627D4A">
        <w:rPr>
          <w:vertAlign w:val="superscript"/>
        </w:rPr>
        <w:t>2</w:t>
      </w:r>
      <w:r w:rsidRPr="00627D4A">
        <w:t>. This inequality is not limited to situations in which men attain better results. In many cases, women’s victories and records are overshadowed, even when they surpass those of their male counterparts</w:t>
      </w:r>
      <w:r w:rsidRPr="00627D4A">
        <w:rPr>
          <w:vertAlign w:val="superscript"/>
        </w:rPr>
        <w:t>3</w:t>
      </w:r>
      <w:r w:rsidRPr="00627D4A">
        <w:t>.</w:t>
      </w:r>
    </w:p>
    <w:p w14:paraId="056C1E3B" w14:textId="76C4748B" w:rsidR="005A6581" w:rsidRPr="005B61F8" w:rsidRDefault="0064432F">
      <w:pPr>
        <w:ind w:firstLine="720"/>
        <w:jc w:val="both"/>
      </w:pPr>
      <w:r w:rsidRPr="00627D4A">
        <w:t>The discriminatory treatment toward women is rooted</w:t>
      </w:r>
      <w:r w:rsidRPr="004970E8">
        <w:t xml:space="preserve"> in a historical tradition that has shaped sport as an androcentric space where, from a binary gender logic, men and certain forms </w:t>
      </w:r>
      <w:r w:rsidRPr="004970E8">
        <w:lastRenderedPageBreak/>
        <w:t>of masculinity have been placed at the centre, while women and femininity have been marginalised</w:t>
      </w:r>
      <w:r w:rsidRPr="004970E8">
        <w:rPr>
          <w:vertAlign w:val="superscript"/>
        </w:rPr>
        <w:t>4</w:t>
      </w:r>
      <w:r w:rsidRPr="004970E8">
        <w:t>, and even ridiculed. As Bourdieu</w:t>
      </w:r>
      <w:r w:rsidRPr="004970E8">
        <w:rPr>
          <w:vertAlign w:val="superscript"/>
        </w:rPr>
        <w:t>5</w:t>
      </w:r>
      <w:r w:rsidRPr="004970E8">
        <w:t xml:space="preserve"> explains</w:t>
      </w:r>
      <w:r w:rsidRPr="005B61F8">
        <w:t xml:space="preserve">, this order is perpetuated through what he calls “symbolic violence,” a subtle yet effective form of domination that reinforces inequality under the guise of difference and legitimises </w:t>
      </w:r>
      <w:r w:rsidR="00F26A98" w:rsidRPr="005B61F8">
        <w:t>arbitrary</w:t>
      </w:r>
      <w:r w:rsidRPr="005B61F8">
        <w:t xml:space="preserve"> power hierarchies. In this context, the limited representation of women in sports media is not incidental. It is part of a system that privileges men’s sport, particularly football, and hinders the emergence of female role models while obstructing women’s visibility</w:t>
      </w:r>
      <w:r w:rsidRPr="005B61F8">
        <w:rPr>
          <w:vertAlign w:val="superscript"/>
        </w:rPr>
        <w:t>6,7</w:t>
      </w:r>
      <w:r w:rsidRPr="005B61F8">
        <w:t xml:space="preserve">. </w:t>
      </w:r>
      <w:proofErr w:type="spellStart"/>
      <w:r w:rsidRPr="005B61F8">
        <w:t>Desviyanti</w:t>
      </w:r>
      <w:proofErr w:type="spellEnd"/>
      <w:r w:rsidRPr="005B61F8">
        <w:t xml:space="preserve"> et al.³ and Gómez-Colell et al.⁸ have shown that the media reproduce sexist stereotypes from early stages, associating masculinity with athleticism and femininity with fragility, a finding also confirmed by Herrera et al.⁹. Many athletes have also pointed out how their care</w:t>
      </w:r>
      <w:r w:rsidRPr="004970E8">
        <w:t>ers and achievements are either ignored or only acknowledged under exceptional circumstan</w:t>
      </w:r>
      <w:r>
        <w:t>ces</w:t>
      </w:r>
      <w:r>
        <w:rPr>
          <w:vertAlign w:val="superscript"/>
        </w:rPr>
        <w:t>10</w:t>
      </w:r>
      <w:r>
        <w:t>. In this way, sports media function as i</w:t>
      </w:r>
      <w:r w:rsidRPr="00971253">
        <w:t xml:space="preserve">nstruments that reinforce male </w:t>
      </w:r>
      <w:r w:rsidRPr="005B61F8">
        <w:t>hegemony</w:t>
      </w:r>
      <w:r w:rsidRPr="005B61F8">
        <w:rPr>
          <w:vertAlign w:val="superscript"/>
        </w:rPr>
        <w:t>11</w:t>
      </w:r>
      <w:r w:rsidRPr="005B61F8">
        <w:t>.</w:t>
      </w:r>
    </w:p>
    <w:p w14:paraId="1FD066CC" w14:textId="68FEF5F8" w:rsidR="005A6581" w:rsidRPr="005B61F8" w:rsidRDefault="0064432F">
      <w:pPr>
        <w:ind w:firstLine="720"/>
        <w:jc w:val="both"/>
      </w:pPr>
      <w:r w:rsidRPr="005B61F8">
        <w:t>Among the main strategies used by the sports press to reproduce these inequalities are sexualisation, infantilisation and invisibilisation</w:t>
      </w:r>
      <w:r w:rsidRPr="005B61F8">
        <w:rPr>
          <w:vertAlign w:val="superscript"/>
        </w:rPr>
        <w:t>12</w:t>
      </w:r>
      <w:r w:rsidRPr="005B61F8">
        <w:t>, which in turn represent distinct forms of violence</w:t>
      </w:r>
      <w:r w:rsidRPr="005B61F8">
        <w:rPr>
          <w:vertAlign w:val="superscript"/>
        </w:rPr>
        <w:t>9</w:t>
      </w:r>
      <w:r w:rsidRPr="005B61F8">
        <w:t>. Sexualisation, as a form of sexual violence, reinforces and sustains male power hierarchies by presenting women in a dehumanised manner and as objects of sexual pleasure</w:t>
      </w:r>
      <w:r w:rsidR="00771D7B" w:rsidRPr="005B61F8">
        <w:t xml:space="preserve"> for men</w:t>
      </w:r>
      <w:r w:rsidRPr="005B61F8">
        <w:rPr>
          <w:vertAlign w:val="superscript"/>
        </w:rPr>
        <w:t>13</w:t>
      </w:r>
      <w:r w:rsidRPr="005B61F8">
        <w:t>. Infantilisation portrays women as immature and unstable, reinforcing their depiction as individuals dependent on male authority</w:t>
      </w:r>
      <w:r w:rsidRPr="005B61F8">
        <w:rPr>
          <w:vertAlign w:val="superscript"/>
        </w:rPr>
        <w:t>14</w:t>
      </w:r>
      <w:r w:rsidRPr="005B61F8">
        <w:t xml:space="preserve">. </w:t>
      </w:r>
      <w:proofErr w:type="spellStart"/>
      <w:r w:rsidRPr="005B61F8">
        <w:t>Invisibilisation</w:t>
      </w:r>
      <w:proofErr w:type="spellEnd"/>
      <w:r w:rsidRPr="005B61F8">
        <w:t xml:space="preserve"> deliberately conceals their successes in order to restrict their social recognition, public prominence and capacity for influence</w:t>
      </w:r>
      <w:r w:rsidRPr="005B61F8">
        <w:rPr>
          <w:vertAlign w:val="superscript"/>
        </w:rPr>
        <w:t>9</w:t>
      </w:r>
      <w:r w:rsidRPr="005B61F8">
        <w:t xml:space="preserve">. These practices convey the idea that women may only participate </w:t>
      </w:r>
      <w:r w:rsidR="00771D7B" w:rsidRPr="005B61F8">
        <w:t>insofar as such participation does</w:t>
      </w:r>
      <w:r w:rsidRPr="005B61F8">
        <w:t xml:space="preserve"> not challenge </w:t>
      </w:r>
      <w:r w:rsidR="00771D7B" w:rsidRPr="005B61F8">
        <w:t xml:space="preserve">existing power structures </w:t>
      </w:r>
      <w:r w:rsidRPr="005B61F8">
        <w:t>and</w:t>
      </w:r>
      <w:r w:rsidR="00771D7B" w:rsidRPr="005B61F8">
        <w:t xml:space="preserve"> requires them to assume </w:t>
      </w:r>
      <w:r w:rsidRPr="005B61F8">
        <w:t>a secondary or complementary role. Feminist scholarship has explored in depth how, in formally egalitarian societies, the logic of fraternity does not operate through coercive laws, particularly in neoliberal contexts, but rather through an imperceptible imposition disguised as individual consent</w:t>
      </w:r>
      <w:r w:rsidRPr="005B61F8">
        <w:rPr>
          <w:vertAlign w:val="superscript"/>
        </w:rPr>
        <w:t>15</w:t>
      </w:r>
      <w:r w:rsidRPr="005B61F8">
        <w:t xml:space="preserve"> (pp. 32–37). New mechanisms of control use various channels, including the media, to impose their framework. This shapes both the social imaginary and social reality, guiding individuals to think and develop beliefs in a specific direction</w:t>
      </w:r>
      <w:r w:rsidRPr="005B61F8">
        <w:rPr>
          <w:vertAlign w:val="superscript"/>
        </w:rPr>
        <w:t>16</w:t>
      </w:r>
      <w:r w:rsidRPr="005B61F8">
        <w:t>.</w:t>
      </w:r>
    </w:p>
    <w:p w14:paraId="19045DC7" w14:textId="57D2082B" w:rsidR="005A6581" w:rsidRPr="005B61F8" w:rsidRDefault="0064432F">
      <w:pPr>
        <w:ind w:firstLine="720"/>
        <w:jc w:val="both"/>
      </w:pPr>
      <w:r w:rsidRPr="005B61F8">
        <w:t xml:space="preserve">The front pages of sports newspapers, which are highly visible and symbolically charged spaces, </w:t>
      </w:r>
      <w:r w:rsidR="00733E15" w:rsidRPr="005B61F8">
        <w:t xml:space="preserve">may </w:t>
      </w:r>
      <w:r w:rsidRPr="005B61F8">
        <w:t xml:space="preserve">reflect editorial priorities that </w:t>
      </w:r>
      <w:r w:rsidR="00771D7B" w:rsidRPr="005B61F8">
        <w:t xml:space="preserve">may </w:t>
      </w:r>
      <w:r w:rsidRPr="005B61F8">
        <w:t>reproduce gender inequalities, influence the public agenda and reinforce rigid gender norms within sport</w:t>
      </w:r>
      <w:r w:rsidRPr="005B61F8">
        <w:rPr>
          <w:vertAlign w:val="superscript"/>
        </w:rPr>
        <w:t>17</w:t>
      </w:r>
      <w:r w:rsidRPr="005B61F8">
        <w:t>. In this regard, the presence of women on the front pages of Spanish sports newspapers is limited and often secondary, while men’s football overwhelmingly dominates, revealing clear biases in attention and valuation</w:t>
      </w:r>
      <w:r w:rsidRPr="005B61F8">
        <w:rPr>
          <w:vertAlign w:val="superscript"/>
        </w:rPr>
        <w:t>8,9,14,18,19</w:t>
      </w:r>
      <w:r w:rsidRPr="005B61F8">
        <w:t>. These patterns are not</w:t>
      </w:r>
      <w:r w:rsidRPr="00971253">
        <w:t xml:space="preserve"> unique to the Spanish context, as international studies have identified similar trends in other countries</w:t>
      </w:r>
      <w:r w:rsidRPr="00971253">
        <w:rPr>
          <w:vertAlign w:val="superscript"/>
        </w:rPr>
        <w:t>20</w:t>
      </w:r>
      <w:r w:rsidRPr="00971253">
        <w:t>. This scarce and stereotyped representation of women contributes to</w:t>
      </w:r>
      <w:r>
        <w:t xml:space="preserve"> a societal perception of female participation and sporting achievements as anecdotal and irrelevant</w:t>
      </w:r>
      <w:r>
        <w:rPr>
          <w:vertAlign w:val="superscript"/>
        </w:rPr>
        <w:t>17</w:t>
      </w:r>
      <w:r>
        <w:t xml:space="preserve">. This false perception is, to a large extent, the responsibility of the media, which deprives women and girls of relatable sporting role models and denies boys and men a complete and </w:t>
      </w:r>
      <w:r w:rsidRPr="005B61F8">
        <w:t>egalitarian view of sport</w:t>
      </w:r>
      <w:r w:rsidRPr="005B61F8">
        <w:rPr>
          <w:vertAlign w:val="superscript"/>
        </w:rPr>
        <w:t>21</w:t>
      </w:r>
      <w:r w:rsidRPr="005B61F8">
        <w:t>. These narratives therefore form part of a sexualised media policy that legitimises gender hierarchies and contributes to the rise in violence against women, reinforcing structural social misogyny and leading to the cultural impoverishment of society.</w:t>
      </w:r>
    </w:p>
    <w:p w14:paraId="578E6193" w14:textId="00A22B21" w:rsidR="005A6581" w:rsidRDefault="0064432F">
      <w:pPr>
        <w:ind w:firstLine="720"/>
        <w:jc w:val="both"/>
        <w:rPr>
          <w:color w:val="000000"/>
        </w:rPr>
      </w:pPr>
      <w:r w:rsidRPr="005B61F8">
        <w:rPr>
          <w:color w:val="000000"/>
        </w:rPr>
        <w:t xml:space="preserve">In the field of sport, biased media coverage </w:t>
      </w:r>
      <w:r w:rsidR="00733E15" w:rsidRPr="005B61F8">
        <w:t xml:space="preserve">—disseminated through print media, television, radio, as well as digital platforms and social media— </w:t>
      </w:r>
      <w:r w:rsidRPr="005B61F8">
        <w:rPr>
          <w:color w:val="000000"/>
        </w:rPr>
        <w:t>influences the construction of role models from an early age, not only through the consumption of sports content but also through educational systems themselves. The educational consequences of these practices are clear: (</w:t>
      </w:r>
      <w:proofErr w:type="spellStart"/>
      <w:r w:rsidRPr="005B61F8">
        <w:rPr>
          <w:color w:val="000000"/>
        </w:rPr>
        <w:t>i</w:t>
      </w:r>
      <w:proofErr w:type="spellEnd"/>
      <w:r w:rsidRPr="005B61F8">
        <w:rPr>
          <w:color w:val="000000"/>
        </w:rPr>
        <w:t>) a social imaginary that regards women’s sport as non-existent or insignificant, (ii) a lack of female role models across society, and (iii) the perpetuation of an androcentric model of sport that marginalises women. In this regard, Orfila</w:t>
      </w:r>
      <w:r w:rsidRPr="00DE5E4A">
        <w:rPr>
          <w:color w:val="000000"/>
        </w:rPr>
        <w:t xml:space="preserve"> y Moya-Mata</w:t>
      </w:r>
      <w:r w:rsidRPr="00DE5E4A">
        <w:rPr>
          <w:color w:val="000000"/>
          <w:vertAlign w:val="superscript"/>
        </w:rPr>
        <w:t>22</w:t>
      </w:r>
      <w:r w:rsidRPr="00DE5E4A">
        <w:rPr>
          <w:color w:val="000000"/>
        </w:rPr>
        <w:t xml:space="preserve"> found</w:t>
      </w:r>
      <w:r>
        <w:rPr>
          <w:color w:val="000000"/>
        </w:rPr>
        <w:t xml:space="preserve"> that pupils overwhelmingly recognise male athletes, are unaware of female sporting figures, and perceive </w:t>
      </w:r>
      <w:r>
        <w:rPr>
          <w:color w:val="000000"/>
        </w:rPr>
        <w:lastRenderedPageBreak/>
        <w:t>traditionally feminised sports disciplines as “lesser”. This biased media perspective is also evident in curricular materials, particularly in Physical Education textbooks, which display a clea</w:t>
      </w:r>
      <w:r w:rsidRPr="00DE5E4A">
        <w:rPr>
          <w:color w:val="000000"/>
        </w:rPr>
        <w:t>r overrepresentation of men in sports imagery, both on the covers</w:t>
      </w:r>
      <w:r w:rsidRPr="00DE5E4A">
        <w:rPr>
          <w:color w:val="000000"/>
          <w:vertAlign w:val="superscript"/>
        </w:rPr>
        <w:t>23</w:t>
      </w:r>
      <w:r w:rsidRPr="00DE5E4A">
        <w:rPr>
          <w:color w:val="000000"/>
        </w:rPr>
        <w:t xml:space="preserve"> and within the interior content</w:t>
      </w:r>
      <w:r w:rsidRPr="00DE5E4A">
        <w:rPr>
          <w:color w:val="000000"/>
          <w:vertAlign w:val="superscript"/>
        </w:rPr>
        <w:t>24</w:t>
      </w:r>
      <w:r w:rsidRPr="00DE5E4A">
        <w:rPr>
          <w:color w:val="000000"/>
        </w:rPr>
        <w:t xml:space="preserve">. </w:t>
      </w:r>
      <w:r w:rsidRPr="00DE5E4A">
        <w:t>Far from being neutral resources, these media-disseminated materials reflect and reproduce gender roles and gender stereotypes, hindering pedagogical actions and reinforcing gender inequalities within school physical culture</w:t>
      </w:r>
      <w:r w:rsidRPr="00DE5E4A">
        <w:rPr>
          <w:color w:val="000000"/>
        </w:rPr>
        <w:t>.</w:t>
      </w:r>
    </w:p>
    <w:p w14:paraId="0C422CC8" w14:textId="32878A45" w:rsidR="005A6581" w:rsidRPr="005B61F8" w:rsidRDefault="0064432F">
      <w:pPr>
        <w:ind w:firstLine="720"/>
        <w:jc w:val="both"/>
        <w:rPr>
          <w:color w:val="000000"/>
        </w:rPr>
      </w:pPr>
      <w:r>
        <w:rPr>
          <w:color w:val="000000"/>
        </w:rPr>
        <w:t>In light of this reality, it is essential that Physical Education teachers are trained as agents of change</w:t>
      </w:r>
      <w:r>
        <w:rPr>
          <w:color w:val="000000"/>
          <w:vertAlign w:val="superscript"/>
        </w:rPr>
        <w:t>25</w:t>
      </w:r>
      <w:r>
        <w:rPr>
          <w:color w:val="000000"/>
        </w:rPr>
        <w:t xml:space="preserve">. To achieve this, media and information literacy must be incorporated into both initial teacher education and ongoing professional development, in order </w:t>
      </w:r>
      <w:r w:rsidRPr="005B61F8">
        <w:rPr>
          <w:color w:val="000000"/>
        </w:rPr>
        <w:t xml:space="preserve">to identify and challenge sexist practices and to promote a more equitable sporting culture from the earliest stages of education. Including media literacy within the Physical Education curriculum would enable pupils to develop a more critical perspective on the messages they receive, recognising the mechanisms through which women athletes and women’s sport are excluded. </w:t>
      </w:r>
      <w:r w:rsidR="00C240BA" w:rsidRPr="005B61F8">
        <w:rPr>
          <w:color w:val="000000"/>
        </w:rPr>
        <w:t>In this sense, m</w:t>
      </w:r>
      <w:r w:rsidRPr="005B61F8">
        <w:rPr>
          <w:color w:val="000000"/>
        </w:rPr>
        <w:t>edia education should not be limited to the technical use of communication and digital tools. It should also aim to cultivate ethical, critical thinking that is committed to democratic values</w:t>
      </w:r>
      <w:r w:rsidRPr="005B61F8">
        <w:rPr>
          <w:color w:val="000000"/>
          <w:vertAlign w:val="superscript"/>
        </w:rPr>
        <w:t>26</w:t>
      </w:r>
      <w:r w:rsidRPr="005B61F8">
        <w:rPr>
          <w:color w:val="000000"/>
        </w:rPr>
        <w:t xml:space="preserve">. This critical dimension is particularly important for girls, not only to strengthen </w:t>
      </w:r>
      <w:r w:rsidRPr="005B61F8">
        <w:t>their sporting self-esteem, but also to help them recognise that there are female genealogies in sport, and to make them aware that they themselves are part of a collective history of effort, achievement, and resistance</w:t>
      </w:r>
      <w:r w:rsidRPr="005B61F8">
        <w:rPr>
          <w:color w:val="000000"/>
        </w:rPr>
        <w:t>.</w:t>
      </w:r>
    </w:p>
    <w:p w14:paraId="61BCA91B" w14:textId="77777777" w:rsidR="005A6581" w:rsidRDefault="0064432F">
      <w:pPr>
        <w:ind w:firstLine="720"/>
        <w:jc w:val="both"/>
        <w:rPr>
          <w:color w:val="000000"/>
        </w:rPr>
      </w:pPr>
      <w:r w:rsidRPr="005B61F8">
        <w:rPr>
          <w:color w:val="000000"/>
        </w:rPr>
        <w:t>From this perspective, the present study sets out three main objectives: (</w:t>
      </w:r>
      <w:proofErr w:type="spellStart"/>
      <w:r w:rsidRPr="005B61F8">
        <w:rPr>
          <w:color w:val="000000"/>
        </w:rPr>
        <w:t>i</w:t>
      </w:r>
      <w:proofErr w:type="spellEnd"/>
      <w:r w:rsidRPr="005B61F8">
        <w:rPr>
          <w:color w:val="000000"/>
        </w:rPr>
        <w:t>) to critically analyse how women athletes are represented in the Spanish sports press, (ii) to</w:t>
      </w:r>
      <w:r w:rsidRPr="00616A1E">
        <w:rPr>
          <w:color w:val="000000"/>
        </w:rPr>
        <w:t xml:space="preserve"> identify the forms of violence associated with</w:t>
      </w:r>
      <w:r>
        <w:rPr>
          <w:color w:val="000000"/>
        </w:rPr>
        <w:t xml:space="preserve"> their media portrayal, and (iii) to reflect on the educational implications of these media discourses within the educational context.</w:t>
      </w:r>
    </w:p>
    <w:p w14:paraId="1DB05058" w14:textId="77777777" w:rsidR="005A6581" w:rsidRDefault="005A6581">
      <w:pPr>
        <w:jc w:val="both"/>
        <w:rPr>
          <w:b/>
        </w:rPr>
      </w:pPr>
    </w:p>
    <w:p w14:paraId="10070A27" w14:textId="77777777" w:rsidR="005A6581" w:rsidRDefault="0064432F">
      <w:pPr>
        <w:jc w:val="both"/>
        <w:rPr>
          <w:b/>
        </w:rPr>
      </w:pPr>
      <w:r>
        <w:rPr>
          <w:b/>
        </w:rPr>
        <w:t>Methodology</w:t>
      </w:r>
    </w:p>
    <w:p w14:paraId="0137EBBE" w14:textId="77777777" w:rsidR="005B61F8" w:rsidRDefault="005B61F8">
      <w:pPr>
        <w:jc w:val="both"/>
        <w:rPr>
          <w:b/>
        </w:rPr>
      </w:pPr>
    </w:p>
    <w:p w14:paraId="791D26E6" w14:textId="77777777" w:rsidR="005A6581" w:rsidRDefault="0064432F">
      <w:pPr>
        <w:spacing w:after="240"/>
        <w:ind w:firstLine="720"/>
        <w:jc w:val="both"/>
      </w:pPr>
      <w:r>
        <w:t>A mixed-methods approach was used in the development of this study, combining elements of quantitative analysis with content analysis techniques in order to obtain multiple perspectives on the subject of investigation.</w:t>
      </w:r>
    </w:p>
    <w:p w14:paraId="6E6A3040" w14:textId="77777777" w:rsidR="005A6581" w:rsidRPr="006909AA" w:rsidRDefault="0064432F">
      <w:pPr>
        <w:jc w:val="both"/>
        <w:rPr>
          <w:color w:val="FF0000"/>
        </w:rPr>
      </w:pPr>
      <w:r w:rsidRPr="006909AA">
        <w:rPr>
          <w:i/>
        </w:rPr>
        <w:t xml:space="preserve">Sample </w:t>
      </w:r>
    </w:p>
    <w:p w14:paraId="430742F2" w14:textId="77777777" w:rsidR="00733E15" w:rsidRPr="00627D4A" w:rsidRDefault="0064432F">
      <w:pPr>
        <w:widowControl w:val="0"/>
        <w:ind w:firstLine="720"/>
        <w:jc w:val="both"/>
      </w:pPr>
      <w:r w:rsidRPr="006909AA">
        <w:t xml:space="preserve">For the purposes of this study, the analysis focused on the representation of women’s sport on the front pages of </w:t>
      </w:r>
      <w:r w:rsidRPr="006909AA">
        <w:rPr>
          <w:i/>
        </w:rPr>
        <w:t>Marca</w:t>
      </w:r>
      <w:r w:rsidRPr="006909AA">
        <w:t xml:space="preserve"> and </w:t>
      </w:r>
      <w:proofErr w:type="spellStart"/>
      <w:r w:rsidRPr="006909AA">
        <w:rPr>
          <w:i/>
        </w:rPr>
        <w:t>Diario</w:t>
      </w:r>
      <w:proofErr w:type="spellEnd"/>
      <w:r w:rsidRPr="006909AA">
        <w:rPr>
          <w:i/>
        </w:rPr>
        <w:t xml:space="preserve"> AS</w:t>
      </w:r>
      <w:r w:rsidRPr="006909AA">
        <w:t xml:space="preserve"> during the first ten days of January, February, and March 2025. The </w:t>
      </w:r>
      <w:r w:rsidRPr="00627D4A">
        <w:t xml:space="preserve">data collection period was selected through a non-probabilistic sampling strategy by the researchers, who sought to avoid the inclusion of mega-events which, due to their exceptional nature and extensive media impact, could have biased the results. Nevertheless, it was not possible to prevent the inclusion of coverage of the 2025 European Indoor Athletics Championships within the selected period of analysis. </w:t>
      </w:r>
    </w:p>
    <w:p w14:paraId="7AC9FA43" w14:textId="3C812F7A" w:rsidR="005A6581" w:rsidRDefault="0064432F">
      <w:pPr>
        <w:widowControl w:val="0"/>
        <w:ind w:firstLine="720"/>
        <w:jc w:val="both"/>
      </w:pPr>
      <w:r w:rsidRPr="00627D4A">
        <w:t xml:space="preserve">The selection of </w:t>
      </w:r>
      <w:r w:rsidRPr="00627D4A">
        <w:rPr>
          <w:i/>
        </w:rPr>
        <w:t>Marca</w:t>
      </w:r>
      <w:r w:rsidRPr="00627D4A">
        <w:t xml:space="preserve"> and </w:t>
      </w:r>
      <w:proofErr w:type="spellStart"/>
      <w:r w:rsidRPr="00627D4A">
        <w:t>Diario</w:t>
      </w:r>
      <w:proofErr w:type="spellEnd"/>
      <w:r w:rsidRPr="00627D4A">
        <w:t xml:space="preserve"> </w:t>
      </w:r>
      <w:r w:rsidRPr="00627D4A">
        <w:rPr>
          <w:i/>
        </w:rPr>
        <w:t>AS</w:t>
      </w:r>
      <w:r w:rsidRPr="00627D4A">
        <w:t xml:space="preserve"> is based on three main criteria. First, they are the most widely read sports newspapers in Spain, with a daily average of four and three million page views respectively</w:t>
      </w:r>
      <w:r w:rsidRPr="00627D4A">
        <w:rPr>
          <w:vertAlign w:val="superscript"/>
        </w:rPr>
        <w:t>27</w:t>
      </w:r>
      <w:r w:rsidRPr="00627D4A">
        <w:t>. Second, both newspapers are dedicated exclusively to sports content. Third, their print editions are available in PDF format, which facilitates access to and analysis of the material.</w:t>
      </w:r>
    </w:p>
    <w:p w14:paraId="3192D5A6" w14:textId="77777777" w:rsidR="005A6581" w:rsidRDefault="0064432F">
      <w:pPr>
        <w:widowControl w:val="0"/>
        <w:ind w:firstLine="720"/>
        <w:jc w:val="both"/>
      </w:pPr>
      <w:r>
        <w:t>The choice of the front page as the unit of analysis is based on its informational and symbolic value. It functions as a showcase and reflects the thematic hierarchies established by the editorial line. Through front pages, decisions are made about what is considered newsworthy and what is relegated, thereby directly influencing public perception</w:t>
      </w:r>
      <w:r>
        <w:rPr>
          <w:vertAlign w:val="superscript"/>
        </w:rPr>
        <w:t>28</w:t>
      </w:r>
      <w:r>
        <w:t>.</w:t>
      </w:r>
    </w:p>
    <w:p w14:paraId="691B1E23" w14:textId="77777777" w:rsidR="005A6581" w:rsidRDefault="005A6581">
      <w:pPr>
        <w:widowControl w:val="0"/>
        <w:jc w:val="both"/>
      </w:pPr>
    </w:p>
    <w:p w14:paraId="506026F1" w14:textId="77777777" w:rsidR="005A6581" w:rsidRDefault="0064432F">
      <w:pPr>
        <w:widowControl w:val="0"/>
        <w:jc w:val="both"/>
        <w:rPr>
          <w:i/>
        </w:rPr>
      </w:pPr>
      <w:r>
        <w:rPr>
          <w:i/>
        </w:rPr>
        <w:t xml:space="preserve">Procedure </w:t>
      </w:r>
    </w:p>
    <w:p w14:paraId="13C2B98E" w14:textId="77777777" w:rsidR="005A6581" w:rsidRPr="006909AA" w:rsidRDefault="0064432F">
      <w:pPr>
        <w:widowControl w:val="0"/>
        <w:ind w:firstLine="708"/>
        <w:jc w:val="both"/>
      </w:pPr>
      <w:r w:rsidRPr="006909AA">
        <w:t xml:space="preserve">To analyse the information collected, a descriptive record sheet was used for each front </w:t>
      </w:r>
      <w:r w:rsidRPr="006909AA">
        <w:lastRenderedPageBreak/>
        <w:t>page, based on the model proposed by Mauro</w:t>
      </w:r>
      <w:r w:rsidRPr="006909AA">
        <w:rPr>
          <w:vertAlign w:val="superscript"/>
        </w:rPr>
        <w:t>16</w:t>
      </w:r>
      <w:r w:rsidRPr="006909AA">
        <w:t>. The sheet included the following analytical elements:</w:t>
      </w:r>
    </w:p>
    <w:p w14:paraId="3055336F" w14:textId="77777777" w:rsidR="005A6581" w:rsidRDefault="0064432F">
      <w:pPr>
        <w:widowControl w:val="0"/>
        <w:ind w:firstLine="708"/>
        <w:jc w:val="both"/>
      </w:pPr>
      <w:r w:rsidRPr="006909AA">
        <w:t>Format: Design of the front page, headlines (number and structure), spatial distribution of headlines on the page (centra</w:t>
      </w:r>
      <w:r>
        <w:t>l area and lateral, upper and/or lower margins), and images (composition).</w:t>
      </w:r>
    </w:p>
    <w:p w14:paraId="4FA301AA" w14:textId="77777777" w:rsidR="005A6581" w:rsidRDefault="0064432F">
      <w:pPr>
        <w:ind w:firstLine="708"/>
        <w:jc w:val="both"/>
      </w:pPr>
      <w:r>
        <w:t>Content: Inclusion of news about women’s sport and/or female athletes, type of content (sport-related or non-sport-related), editorial approach (informative or sensationalist), type of sports disciplines practised by women featured on the front pages, and the language used to describe female athletes.</w:t>
      </w:r>
    </w:p>
    <w:p w14:paraId="3B83B684" w14:textId="77777777" w:rsidR="005A6581" w:rsidRDefault="005A6581">
      <w:pPr>
        <w:jc w:val="both"/>
        <w:rPr>
          <w:i/>
          <w:highlight w:val="white"/>
        </w:rPr>
      </w:pPr>
    </w:p>
    <w:p w14:paraId="46FDC509" w14:textId="77777777" w:rsidR="005A6581" w:rsidRDefault="0064432F">
      <w:pPr>
        <w:jc w:val="both"/>
        <w:rPr>
          <w:i/>
        </w:rPr>
      </w:pPr>
      <w:r>
        <w:rPr>
          <w:i/>
          <w:highlight w:val="white"/>
        </w:rPr>
        <w:t>Data processing and analysis</w:t>
      </w:r>
      <w:r>
        <w:rPr>
          <w:rFonts w:ascii="Arial" w:eastAsia="Arial" w:hAnsi="Arial" w:cs="Arial"/>
          <w:b/>
          <w:i/>
          <w:sz w:val="22"/>
          <w:szCs w:val="22"/>
          <w:highlight w:val="white"/>
        </w:rPr>
        <w:t xml:space="preserve"> </w:t>
      </w:r>
    </w:p>
    <w:p w14:paraId="107CD75E" w14:textId="507221E9" w:rsidR="005A6581" w:rsidRPr="00627D4A" w:rsidRDefault="0064432F">
      <w:pPr>
        <w:widowControl w:val="0"/>
        <w:ind w:firstLine="708"/>
        <w:jc w:val="both"/>
      </w:pPr>
      <w:r>
        <w:t xml:space="preserve">The data analysis was structured in two phases. In the first </w:t>
      </w:r>
      <w:r w:rsidRPr="00627D4A">
        <w:t xml:space="preserve">phase, a descriptive analysis was conducted to determine the frequency of content related to women’s sport and/or female athletes appearing on the front pages of both newspapers. This was carried out using quantitative and graphical methods. In the second phase, headlines and images were examined using </w:t>
      </w:r>
      <w:r w:rsidR="00C240BA" w:rsidRPr="00627D4A">
        <w:t xml:space="preserve">qualitative </w:t>
      </w:r>
      <w:r w:rsidRPr="00627D4A">
        <w:t>content analysis</w:t>
      </w:r>
      <w:r w:rsidR="00C240BA" w:rsidRPr="00627D4A">
        <w:t xml:space="preserve">, identifying </w:t>
      </w:r>
      <w:r w:rsidRPr="00627D4A">
        <w:t>the most recurring and significant themes were identified.</w:t>
      </w:r>
    </w:p>
    <w:p w14:paraId="205EF69C" w14:textId="77777777" w:rsidR="005A6581" w:rsidRPr="00627D4A" w:rsidRDefault="005A6581">
      <w:pPr>
        <w:widowControl w:val="0"/>
        <w:ind w:firstLine="720"/>
        <w:jc w:val="both"/>
        <w:rPr>
          <w:rFonts w:ascii="Roboto" w:eastAsia="Roboto" w:hAnsi="Roboto" w:cs="Roboto"/>
          <w:color w:val="444746"/>
          <w:sz w:val="21"/>
          <w:szCs w:val="21"/>
        </w:rPr>
      </w:pPr>
    </w:p>
    <w:p w14:paraId="762780C1" w14:textId="77777777" w:rsidR="005A6581" w:rsidRPr="00627D4A" w:rsidRDefault="0064432F">
      <w:pPr>
        <w:widowControl w:val="0"/>
        <w:jc w:val="both"/>
        <w:rPr>
          <w:b/>
        </w:rPr>
      </w:pPr>
      <w:r w:rsidRPr="00627D4A">
        <w:rPr>
          <w:b/>
        </w:rPr>
        <w:t>Results</w:t>
      </w:r>
    </w:p>
    <w:p w14:paraId="64837442" w14:textId="77777777" w:rsidR="005A6581" w:rsidRPr="00627D4A" w:rsidRDefault="0064432F">
      <w:pPr>
        <w:widowControl w:val="0"/>
        <w:ind w:firstLine="709"/>
        <w:jc w:val="both"/>
      </w:pPr>
      <w:r w:rsidRPr="00627D4A">
        <w:t>A total of 60 front pages were selected and analysed. In 38 of them (63%), no headlines related to women’s sport and/or female athletes were recorded, while the remaining 22 front pages (37%) did include headlines related to this topic (Figure 1).</w:t>
      </w:r>
    </w:p>
    <w:p w14:paraId="220FE377" w14:textId="77777777" w:rsidR="005A6581" w:rsidRPr="00627D4A" w:rsidRDefault="005A6581">
      <w:pPr>
        <w:widowControl w:val="0"/>
        <w:ind w:firstLine="709"/>
        <w:jc w:val="center"/>
      </w:pPr>
    </w:p>
    <w:p w14:paraId="56961DC0" w14:textId="77777777" w:rsidR="005A6581" w:rsidRDefault="0064432F">
      <w:pPr>
        <w:widowControl w:val="0"/>
        <w:ind w:firstLine="709"/>
        <w:jc w:val="center"/>
        <w:rPr>
          <w:highlight w:val="white"/>
        </w:rPr>
      </w:pPr>
      <w:r>
        <w:rPr>
          <w:noProof/>
          <w:highlight w:val="white"/>
          <w:lang w:val="es-ES"/>
        </w:rPr>
        <w:drawing>
          <wp:inline distT="0" distB="0" distL="0" distR="0" wp14:anchorId="25A672A4" wp14:editId="7D88CA60">
            <wp:extent cx="4076208" cy="2269514"/>
            <wp:effectExtent l="0" t="0" r="0" b="0"/>
            <wp:docPr id="1602532760" name="image1.png" descr="Gráfico, Gráfico circu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Gráfico, Gráfico circular&#10;&#10;El contenido generado por IA puede ser incorrecto."/>
                    <pic:cNvPicPr preferRelativeResize="0"/>
                  </pic:nvPicPr>
                  <pic:blipFill>
                    <a:blip r:embed="rId9"/>
                    <a:srcRect/>
                    <a:stretch>
                      <a:fillRect/>
                    </a:stretch>
                  </pic:blipFill>
                  <pic:spPr>
                    <a:xfrm>
                      <a:off x="0" y="0"/>
                      <a:ext cx="4076208" cy="2269514"/>
                    </a:xfrm>
                    <a:prstGeom prst="rect">
                      <a:avLst/>
                    </a:prstGeom>
                    <a:ln/>
                  </pic:spPr>
                </pic:pic>
              </a:graphicData>
            </a:graphic>
          </wp:inline>
        </w:drawing>
      </w:r>
    </w:p>
    <w:p w14:paraId="58004091" w14:textId="77777777" w:rsidR="005A6581" w:rsidRDefault="005A6581">
      <w:pPr>
        <w:widowControl w:val="0"/>
        <w:jc w:val="both"/>
        <w:rPr>
          <w:b/>
        </w:rPr>
      </w:pPr>
    </w:p>
    <w:p w14:paraId="1CB9D125" w14:textId="77777777" w:rsidR="005A6581" w:rsidRDefault="0064432F">
      <w:pPr>
        <w:widowControl w:val="0"/>
        <w:jc w:val="both"/>
        <w:rPr>
          <w:highlight w:val="white"/>
        </w:rPr>
      </w:pPr>
      <w:r>
        <w:rPr>
          <w:b/>
        </w:rPr>
        <w:t>Figure 1.</w:t>
      </w:r>
      <w:r>
        <w:t xml:space="preserve"> The two newspapers (</w:t>
      </w:r>
      <w:r>
        <w:rPr>
          <w:i/>
        </w:rPr>
        <w:t>Marca</w:t>
      </w:r>
      <w:r>
        <w:t xml:space="preserve"> and </w:t>
      </w:r>
      <w:r>
        <w:rPr>
          <w:i/>
        </w:rPr>
        <w:t>AS</w:t>
      </w:r>
      <w:r>
        <w:t>) and the percentage of front pages analysed, divided between those with and without content related to women’s sport and/or female athletes.</w:t>
      </w:r>
    </w:p>
    <w:p w14:paraId="1F994372" w14:textId="303CA6E6" w:rsidR="005A6581" w:rsidRDefault="0064432F">
      <w:pPr>
        <w:tabs>
          <w:tab w:val="left" w:pos="709"/>
          <w:tab w:val="left" w:pos="1134"/>
        </w:tabs>
        <w:jc w:val="both"/>
        <w:rPr>
          <w:highlight w:val="white"/>
        </w:rPr>
      </w:pPr>
      <w:r>
        <w:rPr>
          <w:b/>
          <w:sz w:val="18"/>
          <w:szCs w:val="18"/>
        </w:rPr>
        <w:t>Source:</w:t>
      </w:r>
      <w:r w:rsidR="00627D4A">
        <w:rPr>
          <w:sz w:val="18"/>
          <w:szCs w:val="18"/>
        </w:rPr>
        <w:t xml:space="preserve"> The a</w:t>
      </w:r>
      <w:r>
        <w:rPr>
          <w:sz w:val="18"/>
          <w:szCs w:val="18"/>
        </w:rPr>
        <w:t xml:space="preserve">uthors </w:t>
      </w:r>
    </w:p>
    <w:p w14:paraId="55BD3F6F" w14:textId="5DA85FD2" w:rsidR="005A6581" w:rsidRDefault="0064432F">
      <w:pPr>
        <w:spacing w:before="280" w:after="280"/>
        <w:ind w:firstLine="720"/>
        <w:jc w:val="both"/>
      </w:pPr>
      <w:r>
        <w:t xml:space="preserve">From the analysis corpus, a total of 415 headlines were identified, of which 221 (53%) were published on </w:t>
      </w:r>
      <w:r>
        <w:rPr>
          <w:i/>
        </w:rPr>
        <w:t>Marca</w:t>
      </w:r>
      <w:r>
        <w:t xml:space="preserve"> front pages and 194 (47%) on those of </w:t>
      </w:r>
      <w:r>
        <w:rPr>
          <w:i/>
        </w:rPr>
        <w:t>AS</w:t>
      </w:r>
      <w:r>
        <w:t xml:space="preserve"> (Figure 2). Of this total, only 28 headlines (7%) referred to women’s sport and/or female athletes, compared to the remaining 387 headlines (93%). In the case of </w:t>
      </w:r>
      <w:r>
        <w:rPr>
          <w:i/>
        </w:rPr>
        <w:t>Marca</w:t>
      </w:r>
      <w:r>
        <w:t xml:space="preserve">, 94% of the 221 analysed headlines focused on men’s sport or male athletes. The proportion was similar in </w:t>
      </w:r>
      <w:r>
        <w:rPr>
          <w:i/>
        </w:rPr>
        <w:t>AS</w:t>
      </w:r>
      <w:r>
        <w:t xml:space="preserve">, where 93% of the 194 headlines did so. Both newspapers featured the same number of headlines about women’s sport and/or female athletes: 14 each (7%) (Figure 3). On several occasions, determining </w:t>
      </w:r>
      <w:r>
        <w:lastRenderedPageBreak/>
        <w:t xml:space="preserve">whether a headline </w:t>
      </w:r>
      <w:r w:rsidRPr="00627D4A">
        <w:t xml:space="preserve">referred to women’s sport required reading the article, as the headline itself concealed that information (e.g. </w:t>
      </w:r>
      <w:r w:rsidRPr="00627D4A">
        <w:rPr>
          <w:i/>
        </w:rPr>
        <w:t xml:space="preserve">"No </w:t>
      </w:r>
      <w:proofErr w:type="spellStart"/>
      <w:r w:rsidRPr="00627D4A">
        <w:rPr>
          <w:i/>
        </w:rPr>
        <w:t>eran</w:t>
      </w:r>
      <w:proofErr w:type="spellEnd"/>
      <w:r w:rsidRPr="00627D4A">
        <w:rPr>
          <w:i/>
        </w:rPr>
        <w:t xml:space="preserve"> </w:t>
      </w:r>
      <w:proofErr w:type="spellStart"/>
      <w:r w:rsidRPr="00627D4A">
        <w:rPr>
          <w:i/>
        </w:rPr>
        <w:t>invencibles</w:t>
      </w:r>
      <w:proofErr w:type="spellEnd"/>
      <w:r w:rsidRPr="00627D4A">
        <w:rPr>
          <w:i/>
        </w:rPr>
        <w:t>"</w:t>
      </w:r>
      <w:r w:rsidRPr="00627D4A">
        <w:t xml:space="preserve"> ["They were not invincible"], </w:t>
      </w:r>
      <w:proofErr w:type="spellStart"/>
      <w:r w:rsidRPr="00627D4A">
        <w:rPr>
          <w:i/>
        </w:rPr>
        <w:t>Diario</w:t>
      </w:r>
      <w:proofErr w:type="spellEnd"/>
      <w:r w:rsidRPr="00627D4A">
        <w:rPr>
          <w:i/>
        </w:rPr>
        <w:t xml:space="preserve"> AS</w:t>
      </w:r>
      <w:r w:rsidRPr="00627D4A">
        <w:t xml:space="preserve">, </w:t>
      </w:r>
      <w:r w:rsidR="008C533D" w:rsidRPr="00627D4A">
        <w:t>2 February 2</w:t>
      </w:r>
      <w:r w:rsidRPr="00627D4A">
        <w:t xml:space="preserve">025). Female athletes were featured as the main image on the front page only twice across both newspapers, in both cases in relation to the gold medal won by Spanish athlete Ana </w:t>
      </w:r>
      <w:proofErr w:type="spellStart"/>
      <w:r w:rsidRPr="00627D4A">
        <w:t>Peleteiro</w:t>
      </w:r>
      <w:proofErr w:type="spellEnd"/>
      <w:r w:rsidRPr="00627D4A">
        <w:t xml:space="preserve"> at the European</w:t>
      </w:r>
      <w:r>
        <w:t xml:space="preserve"> Indoor Championships.</w:t>
      </w:r>
    </w:p>
    <w:p w14:paraId="5837690D" w14:textId="77777777" w:rsidR="005A6581" w:rsidRDefault="005A6581">
      <w:pPr>
        <w:tabs>
          <w:tab w:val="left" w:pos="709"/>
          <w:tab w:val="left" w:pos="1134"/>
        </w:tabs>
        <w:jc w:val="center"/>
        <w:rPr>
          <w:sz w:val="18"/>
          <w:szCs w:val="18"/>
        </w:rPr>
      </w:pPr>
    </w:p>
    <w:p w14:paraId="60C60EDB" w14:textId="77777777" w:rsidR="005A6581" w:rsidRDefault="0064432F">
      <w:pPr>
        <w:tabs>
          <w:tab w:val="left" w:pos="709"/>
          <w:tab w:val="left" w:pos="1134"/>
        </w:tabs>
        <w:jc w:val="center"/>
        <w:rPr>
          <w:sz w:val="18"/>
          <w:szCs w:val="18"/>
        </w:rPr>
      </w:pPr>
      <w:r>
        <w:rPr>
          <w:noProof/>
          <w:lang w:val="es-ES"/>
        </w:rPr>
        <w:drawing>
          <wp:anchor distT="0" distB="0" distL="0" distR="0" simplePos="0" relativeHeight="251658240" behindDoc="1" locked="0" layoutInCell="1" hidden="0" allowOverlap="1" wp14:anchorId="03C8CC0D" wp14:editId="4948B5E9">
            <wp:simplePos x="0" y="0"/>
            <wp:positionH relativeFrom="column">
              <wp:posOffset>638175</wp:posOffset>
            </wp:positionH>
            <wp:positionV relativeFrom="paragraph">
              <wp:posOffset>81280</wp:posOffset>
            </wp:positionV>
            <wp:extent cx="4004441" cy="1876096"/>
            <wp:effectExtent l="0" t="0" r="0" b="0"/>
            <wp:wrapNone/>
            <wp:docPr id="1602532759" name="Gráfico 16025327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2934E06B" w14:textId="77777777" w:rsidR="005A6581" w:rsidRDefault="005A6581">
      <w:pPr>
        <w:tabs>
          <w:tab w:val="left" w:pos="709"/>
          <w:tab w:val="left" w:pos="1134"/>
        </w:tabs>
        <w:jc w:val="center"/>
        <w:rPr>
          <w:sz w:val="18"/>
          <w:szCs w:val="18"/>
        </w:rPr>
      </w:pPr>
    </w:p>
    <w:p w14:paraId="6C92422F" w14:textId="77777777" w:rsidR="005A6581" w:rsidRDefault="005A6581">
      <w:pPr>
        <w:tabs>
          <w:tab w:val="left" w:pos="709"/>
          <w:tab w:val="left" w:pos="1134"/>
        </w:tabs>
        <w:jc w:val="center"/>
        <w:rPr>
          <w:sz w:val="18"/>
          <w:szCs w:val="18"/>
        </w:rPr>
      </w:pPr>
    </w:p>
    <w:p w14:paraId="4201F2B2" w14:textId="77777777" w:rsidR="005A6581" w:rsidRDefault="005A6581">
      <w:pPr>
        <w:tabs>
          <w:tab w:val="left" w:pos="709"/>
          <w:tab w:val="left" w:pos="1134"/>
        </w:tabs>
        <w:jc w:val="center"/>
        <w:rPr>
          <w:sz w:val="18"/>
          <w:szCs w:val="18"/>
        </w:rPr>
      </w:pPr>
    </w:p>
    <w:p w14:paraId="5FC8669C" w14:textId="77777777" w:rsidR="005A6581" w:rsidRDefault="005A6581">
      <w:pPr>
        <w:tabs>
          <w:tab w:val="left" w:pos="709"/>
          <w:tab w:val="left" w:pos="1134"/>
        </w:tabs>
        <w:jc w:val="center"/>
        <w:rPr>
          <w:sz w:val="18"/>
          <w:szCs w:val="18"/>
        </w:rPr>
      </w:pPr>
    </w:p>
    <w:p w14:paraId="2615679C" w14:textId="77777777" w:rsidR="005A6581" w:rsidRDefault="005A6581">
      <w:pPr>
        <w:tabs>
          <w:tab w:val="left" w:pos="709"/>
          <w:tab w:val="left" w:pos="1134"/>
        </w:tabs>
        <w:jc w:val="center"/>
        <w:rPr>
          <w:sz w:val="18"/>
          <w:szCs w:val="18"/>
        </w:rPr>
      </w:pPr>
    </w:p>
    <w:p w14:paraId="1E348598" w14:textId="77777777" w:rsidR="005A6581" w:rsidRDefault="005A6581">
      <w:pPr>
        <w:tabs>
          <w:tab w:val="left" w:pos="709"/>
          <w:tab w:val="left" w:pos="1134"/>
        </w:tabs>
        <w:jc w:val="center"/>
        <w:rPr>
          <w:sz w:val="18"/>
          <w:szCs w:val="18"/>
        </w:rPr>
      </w:pPr>
    </w:p>
    <w:p w14:paraId="5FF5DB5A" w14:textId="77777777" w:rsidR="005A6581" w:rsidRDefault="005A6581">
      <w:pPr>
        <w:tabs>
          <w:tab w:val="left" w:pos="709"/>
          <w:tab w:val="left" w:pos="1134"/>
        </w:tabs>
        <w:jc w:val="center"/>
        <w:rPr>
          <w:sz w:val="18"/>
          <w:szCs w:val="18"/>
        </w:rPr>
      </w:pPr>
    </w:p>
    <w:p w14:paraId="75ED024E" w14:textId="77777777" w:rsidR="005A6581" w:rsidRDefault="005A6581">
      <w:pPr>
        <w:tabs>
          <w:tab w:val="left" w:pos="709"/>
          <w:tab w:val="left" w:pos="1134"/>
        </w:tabs>
        <w:jc w:val="center"/>
        <w:rPr>
          <w:sz w:val="18"/>
          <w:szCs w:val="18"/>
        </w:rPr>
      </w:pPr>
    </w:p>
    <w:p w14:paraId="207E58C8" w14:textId="77777777" w:rsidR="005A6581" w:rsidRDefault="005A6581">
      <w:pPr>
        <w:tabs>
          <w:tab w:val="left" w:pos="709"/>
          <w:tab w:val="left" w:pos="1134"/>
        </w:tabs>
        <w:jc w:val="center"/>
        <w:rPr>
          <w:sz w:val="18"/>
          <w:szCs w:val="18"/>
        </w:rPr>
      </w:pPr>
    </w:p>
    <w:p w14:paraId="2A20C09B" w14:textId="77777777" w:rsidR="005A6581" w:rsidRDefault="005A6581">
      <w:pPr>
        <w:tabs>
          <w:tab w:val="left" w:pos="709"/>
          <w:tab w:val="left" w:pos="1134"/>
        </w:tabs>
        <w:jc w:val="center"/>
        <w:rPr>
          <w:sz w:val="18"/>
          <w:szCs w:val="18"/>
        </w:rPr>
      </w:pPr>
    </w:p>
    <w:p w14:paraId="4589CCE1" w14:textId="77777777" w:rsidR="005A6581" w:rsidRDefault="005A6581">
      <w:pPr>
        <w:tabs>
          <w:tab w:val="left" w:pos="709"/>
          <w:tab w:val="left" w:pos="1134"/>
        </w:tabs>
        <w:jc w:val="center"/>
        <w:rPr>
          <w:sz w:val="18"/>
          <w:szCs w:val="18"/>
        </w:rPr>
      </w:pPr>
    </w:p>
    <w:p w14:paraId="5285B405" w14:textId="77777777" w:rsidR="005A6581" w:rsidRDefault="005A6581">
      <w:pPr>
        <w:tabs>
          <w:tab w:val="left" w:pos="709"/>
          <w:tab w:val="left" w:pos="1134"/>
        </w:tabs>
        <w:jc w:val="center"/>
        <w:rPr>
          <w:sz w:val="18"/>
          <w:szCs w:val="18"/>
        </w:rPr>
      </w:pPr>
    </w:p>
    <w:p w14:paraId="6E580D50" w14:textId="77777777" w:rsidR="005A6581" w:rsidRDefault="005A6581">
      <w:pPr>
        <w:tabs>
          <w:tab w:val="left" w:pos="709"/>
          <w:tab w:val="left" w:pos="1134"/>
        </w:tabs>
        <w:jc w:val="center"/>
        <w:rPr>
          <w:sz w:val="18"/>
          <w:szCs w:val="18"/>
        </w:rPr>
      </w:pPr>
    </w:p>
    <w:p w14:paraId="4303ACAD" w14:textId="77777777" w:rsidR="005A6581" w:rsidRDefault="005A6581">
      <w:pPr>
        <w:tabs>
          <w:tab w:val="left" w:pos="709"/>
          <w:tab w:val="left" w:pos="1134"/>
        </w:tabs>
        <w:jc w:val="center"/>
        <w:rPr>
          <w:sz w:val="18"/>
          <w:szCs w:val="18"/>
        </w:rPr>
      </w:pPr>
    </w:p>
    <w:p w14:paraId="7F043100" w14:textId="77777777" w:rsidR="005A6581" w:rsidRDefault="005A6581">
      <w:pPr>
        <w:tabs>
          <w:tab w:val="left" w:pos="709"/>
          <w:tab w:val="left" w:pos="1134"/>
        </w:tabs>
        <w:jc w:val="center"/>
        <w:rPr>
          <w:sz w:val="18"/>
          <w:szCs w:val="18"/>
        </w:rPr>
      </w:pPr>
    </w:p>
    <w:p w14:paraId="5ED8CA21" w14:textId="77777777" w:rsidR="005A6581" w:rsidRDefault="0064432F">
      <w:pPr>
        <w:widowControl w:val="0"/>
        <w:jc w:val="both"/>
      </w:pPr>
      <w:r>
        <w:rPr>
          <w:b/>
        </w:rPr>
        <w:t>Figure 2.</w:t>
      </w:r>
      <w:r>
        <w:t xml:space="preserve"> Total number of headlines analysed (</w:t>
      </w:r>
      <w:r>
        <w:rPr>
          <w:i/>
        </w:rPr>
        <w:t>Marca</w:t>
      </w:r>
      <w:r>
        <w:t xml:space="preserve"> and </w:t>
      </w:r>
      <w:r>
        <w:rPr>
          <w:i/>
        </w:rPr>
        <w:t>AS</w:t>
      </w:r>
      <w:r>
        <w:t xml:space="preserve">), divided between those appearing on the front pages of </w:t>
      </w:r>
      <w:r>
        <w:rPr>
          <w:i/>
        </w:rPr>
        <w:t>Marca</w:t>
      </w:r>
      <w:r>
        <w:t xml:space="preserve"> and </w:t>
      </w:r>
      <w:proofErr w:type="spellStart"/>
      <w:r>
        <w:rPr>
          <w:i/>
        </w:rPr>
        <w:t>Diario</w:t>
      </w:r>
      <w:proofErr w:type="spellEnd"/>
      <w:r>
        <w:rPr>
          <w:i/>
        </w:rPr>
        <w:t xml:space="preserve"> AS</w:t>
      </w:r>
      <w:r>
        <w:t>.</w:t>
      </w:r>
    </w:p>
    <w:p w14:paraId="3DCF3B04" w14:textId="7A9DF915" w:rsidR="005A6581" w:rsidRDefault="0064432F">
      <w:pPr>
        <w:widowControl w:val="0"/>
        <w:jc w:val="both"/>
        <w:rPr>
          <w:sz w:val="18"/>
          <w:szCs w:val="18"/>
        </w:rPr>
      </w:pPr>
      <w:r>
        <w:rPr>
          <w:b/>
          <w:sz w:val="18"/>
          <w:szCs w:val="18"/>
        </w:rPr>
        <w:t>Source:</w:t>
      </w:r>
      <w:r>
        <w:rPr>
          <w:sz w:val="18"/>
          <w:szCs w:val="18"/>
        </w:rPr>
        <w:t xml:space="preserve"> </w:t>
      </w:r>
      <w:r w:rsidR="00627D4A">
        <w:rPr>
          <w:sz w:val="18"/>
          <w:szCs w:val="18"/>
        </w:rPr>
        <w:t>The a</w:t>
      </w:r>
      <w:r>
        <w:rPr>
          <w:sz w:val="18"/>
          <w:szCs w:val="18"/>
        </w:rPr>
        <w:t>uthors</w:t>
      </w:r>
    </w:p>
    <w:p w14:paraId="5217D8ED" w14:textId="77777777" w:rsidR="005A6581" w:rsidRDefault="005A6581">
      <w:pPr>
        <w:tabs>
          <w:tab w:val="left" w:pos="709"/>
          <w:tab w:val="left" w:pos="1134"/>
        </w:tabs>
        <w:jc w:val="center"/>
        <w:rPr>
          <w:sz w:val="18"/>
          <w:szCs w:val="18"/>
        </w:rPr>
      </w:pPr>
    </w:p>
    <w:p w14:paraId="77E9D915" w14:textId="77777777" w:rsidR="005A6581" w:rsidRDefault="0064432F">
      <w:pPr>
        <w:tabs>
          <w:tab w:val="left" w:pos="709"/>
          <w:tab w:val="left" w:pos="1134"/>
        </w:tabs>
        <w:jc w:val="center"/>
        <w:rPr>
          <w:sz w:val="18"/>
          <w:szCs w:val="18"/>
        </w:rPr>
      </w:pPr>
      <w:r>
        <w:rPr>
          <w:noProof/>
          <w:lang w:val="es-ES"/>
        </w:rPr>
        <w:drawing>
          <wp:anchor distT="0" distB="0" distL="0" distR="0" simplePos="0" relativeHeight="251659264" behindDoc="1" locked="0" layoutInCell="1" hidden="0" allowOverlap="1" wp14:anchorId="0577856A" wp14:editId="5545D7D9">
            <wp:simplePos x="0" y="0"/>
            <wp:positionH relativeFrom="column">
              <wp:posOffset>533400</wp:posOffset>
            </wp:positionH>
            <wp:positionV relativeFrom="paragraph">
              <wp:posOffset>130810</wp:posOffset>
            </wp:positionV>
            <wp:extent cx="4634624" cy="2937816"/>
            <wp:effectExtent l="0" t="0" r="0" b="0"/>
            <wp:wrapNone/>
            <wp:docPr id="1602532758" name="Gráfico 16025327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6139E46D" w14:textId="77777777" w:rsidR="005A6581" w:rsidRDefault="005A6581">
      <w:pPr>
        <w:ind w:firstLine="720"/>
        <w:jc w:val="center"/>
        <w:rPr>
          <w:highlight w:val="white"/>
        </w:rPr>
      </w:pPr>
    </w:p>
    <w:p w14:paraId="04FD15B9" w14:textId="77777777" w:rsidR="005A6581" w:rsidRDefault="005A6581">
      <w:pPr>
        <w:ind w:firstLine="720"/>
        <w:jc w:val="center"/>
        <w:rPr>
          <w:highlight w:val="white"/>
        </w:rPr>
      </w:pPr>
    </w:p>
    <w:p w14:paraId="7C3711CD" w14:textId="77777777" w:rsidR="005A6581" w:rsidRDefault="005A6581">
      <w:pPr>
        <w:ind w:firstLine="720"/>
        <w:jc w:val="center"/>
        <w:rPr>
          <w:highlight w:val="white"/>
        </w:rPr>
      </w:pPr>
    </w:p>
    <w:p w14:paraId="67B2DD22" w14:textId="77777777" w:rsidR="005A6581" w:rsidRDefault="005A6581">
      <w:pPr>
        <w:ind w:firstLine="720"/>
        <w:jc w:val="center"/>
        <w:rPr>
          <w:highlight w:val="white"/>
        </w:rPr>
      </w:pPr>
    </w:p>
    <w:p w14:paraId="53DA3E56" w14:textId="77777777" w:rsidR="005A6581" w:rsidRDefault="005A6581">
      <w:pPr>
        <w:ind w:firstLine="720"/>
        <w:jc w:val="center"/>
        <w:rPr>
          <w:highlight w:val="white"/>
        </w:rPr>
      </w:pPr>
    </w:p>
    <w:p w14:paraId="7696530A" w14:textId="77777777" w:rsidR="005A6581" w:rsidRDefault="005A6581">
      <w:pPr>
        <w:ind w:firstLine="720"/>
        <w:jc w:val="center"/>
        <w:rPr>
          <w:highlight w:val="white"/>
        </w:rPr>
      </w:pPr>
    </w:p>
    <w:p w14:paraId="7FFC92C0" w14:textId="77777777" w:rsidR="005A6581" w:rsidRDefault="005A6581">
      <w:pPr>
        <w:ind w:firstLine="720"/>
        <w:jc w:val="center"/>
        <w:rPr>
          <w:highlight w:val="white"/>
        </w:rPr>
      </w:pPr>
    </w:p>
    <w:p w14:paraId="1796D427" w14:textId="77777777" w:rsidR="005A6581" w:rsidRDefault="005A6581">
      <w:pPr>
        <w:ind w:firstLine="720"/>
        <w:jc w:val="center"/>
        <w:rPr>
          <w:highlight w:val="white"/>
        </w:rPr>
      </w:pPr>
    </w:p>
    <w:p w14:paraId="10558E26" w14:textId="77777777" w:rsidR="005A6581" w:rsidRDefault="005A6581">
      <w:pPr>
        <w:ind w:firstLine="720"/>
        <w:jc w:val="center"/>
        <w:rPr>
          <w:highlight w:val="white"/>
        </w:rPr>
      </w:pPr>
    </w:p>
    <w:p w14:paraId="3D3B0133" w14:textId="77777777" w:rsidR="005A6581" w:rsidRDefault="005A6581">
      <w:pPr>
        <w:ind w:firstLine="720"/>
        <w:jc w:val="center"/>
        <w:rPr>
          <w:highlight w:val="white"/>
        </w:rPr>
      </w:pPr>
    </w:p>
    <w:p w14:paraId="1BA9E09D" w14:textId="77777777" w:rsidR="005A6581" w:rsidRDefault="005A6581">
      <w:pPr>
        <w:ind w:firstLine="720"/>
        <w:jc w:val="center"/>
        <w:rPr>
          <w:highlight w:val="white"/>
        </w:rPr>
      </w:pPr>
    </w:p>
    <w:p w14:paraId="5F1AADC4" w14:textId="77777777" w:rsidR="005A6581" w:rsidRDefault="005A6581">
      <w:pPr>
        <w:ind w:firstLine="720"/>
        <w:jc w:val="center"/>
        <w:rPr>
          <w:highlight w:val="white"/>
        </w:rPr>
      </w:pPr>
    </w:p>
    <w:p w14:paraId="1D892407" w14:textId="77777777" w:rsidR="005A6581" w:rsidRDefault="005A6581">
      <w:pPr>
        <w:ind w:firstLine="720"/>
        <w:jc w:val="center"/>
        <w:rPr>
          <w:highlight w:val="white"/>
        </w:rPr>
      </w:pPr>
    </w:p>
    <w:p w14:paraId="3137E2A2" w14:textId="77777777" w:rsidR="005A6581" w:rsidRDefault="005A6581">
      <w:pPr>
        <w:ind w:firstLine="720"/>
        <w:jc w:val="center"/>
        <w:rPr>
          <w:highlight w:val="white"/>
        </w:rPr>
      </w:pPr>
    </w:p>
    <w:p w14:paraId="47FE1C45" w14:textId="77777777" w:rsidR="005A6581" w:rsidRDefault="005A6581">
      <w:pPr>
        <w:ind w:firstLine="720"/>
        <w:jc w:val="center"/>
        <w:rPr>
          <w:highlight w:val="white"/>
        </w:rPr>
      </w:pPr>
    </w:p>
    <w:p w14:paraId="7A8F5E7A" w14:textId="77777777" w:rsidR="005A6581" w:rsidRDefault="005A6581">
      <w:pPr>
        <w:widowControl w:val="0"/>
        <w:jc w:val="center"/>
        <w:rPr>
          <w:b/>
        </w:rPr>
      </w:pPr>
    </w:p>
    <w:p w14:paraId="69285F3C" w14:textId="77777777" w:rsidR="005A6581" w:rsidRDefault="005A6581">
      <w:pPr>
        <w:widowControl w:val="0"/>
        <w:jc w:val="center"/>
        <w:rPr>
          <w:b/>
        </w:rPr>
      </w:pPr>
    </w:p>
    <w:p w14:paraId="4CDA76CF" w14:textId="77777777" w:rsidR="005A6581" w:rsidRDefault="0064432F">
      <w:pPr>
        <w:widowControl w:val="0"/>
        <w:jc w:val="both"/>
      </w:pPr>
      <w:r>
        <w:rPr>
          <w:b/>
        </w:rPr>
        <w:t>Figure 3.</w:t>
      </w:r>
      <w:r>
        <w:t xml:space="preserve"> Headlines analysed (</w:t>
      </w:r>
      <w:r>
        <w:rPr>
          <w:i/>
        </w:rPr>
        <w:t>Marca</w:t>
      </w:r>
      <w:r>
        <w:t xml:space="preserve"> and </w:t>
      </w:r>
      <w:r>
        <w:rPr>
          <w:i/>
        </w:rPr>
        <w:t>AS</w:t>
      </w:r>
      <w:r>
        <w:t>), divided between those with and without content related to women’s sport or female athletes.</w:t>
      </w:r>
    </w:p>
    <w:p w14:paraId="740CC042" w14:textId="2F06B272" w:rsidR="005A6581" w:rsidRDefault="0064432F">
      <w:pPr>
        <w:widowControl w:val="0"/>
        <w:jc w:val="both"/>
        <w:rPr>
          <w:sz w:val="18"/>
          <w:szCs w:val="18"/>
        </w:rPr>
      </w:pPr>
      <w:r>
        <w:rPr>
          <w:b/>
          <w:sz w:val="18"/>
          <w:szCs w:val="18"/>
        </w:rPr>
        <w:t>Source:</w:t>
      </w:r>
      <w:r>
        <w:rPr>
          <w:sz w:val="18"/>
          <w:szCs w:val="18"/>
        </w:rPr>
        <w:t xml:space="preserve"> </w:t>
      </w:r>
      <w:r w:rsidR="00627D4A">
        <w:rPr>
          <w:sz w:val="18"/>
          <w:szCs w:val="18"/>
        </w:rPr>
        <w:t>The a</w:t>
      </w:r>
      <w:r>
        <w:rPr>
          <w:sz w:val="18"/>
          <w:szCs w:val="18"/>
        </w:rPr>
        <w:t>uthors</w:t>
      </w:r>
    </w:p>
    <w:p w14:paraId="283894BF" w14:textId="77777777" w:rsidR="005A6581" w:rsidRDefault="0064432F">
      <w:pPr>
        <w:spacing w:before="240"/>
        <w:ind w:firstLine="720"/>
        <w:jc w:val="both"/>
        <w:rPr>
          <w:highlight w:val="white"/>
        </w:rPr>
      </w:pPr>
      <w:r>
        <w:rPr>
          <w:highlight w:val="white"/>
        </w:rPr>
        <w:t xml:space="preserve">With regard to the use of images in news items about women’s sport, it was found that 68% (n=19) of the relevant headlines were accompanied by images, while 32% (n=9) were text-only. The use of visual support was more frequent in </w:t>
      </w:r>
      <w:r>
        <w:rPr>
          <w:i/>
          <w:highlight w:val="white"/>
        </w:rPr>
        <w:t>Marca</w:t>
      </w:r>
      <w:r>
        <w:rPr>
          <w:highlight w:val="white"/>
        </w:rPr>
        <w:t xml:space="preserve">, where 79% (n=11) of the headlines related to women’s sport and female athletes included images, compared to 57% (n=8) in </w:t>
      </w:r>
      <w:proofErr w:type="spellStart"/>
      <w:r>
        <w:rPr>
          <w:i/>
          <w:highlight w:val="white"/>
        </w:rPr>
        <w:t>Diario</w:t>
      </w:r>
      <w:proofErr w:type="spellEnd"/>
      <w:r>
        <w:rPr>
          <w:i/>
          <w:highlight w:val="white"/>
        </w:rPr>
        <w:t xml:space="preserve"> AS</w:t>
      </w:r>
      <w:r>
        <w:rPr>
          <w:highlight w:val="white"/>
        </w:rPr>
        <w:t xml:space="preserve">.   </w:t>
      </w:r>
    </w:p>
    <w:p w14:paraId="1DAF251A" w14:textId="77777777" w:rsidR="005A6581" w:rsidRDefault="0064432F">
      <w:pPr>
        <w:spacing w:after="240"/>
        <w:ind w:firstLine="720"/>
        <w:jc w:val="both"/>
        <w:rPr>
          <w:highlight w:val="white"/>
        </w:rPr>
      </w:pPr>
      <w:r>
        <w:rPr>
          <w:highlight w:val="white"/>
        </w:rPr>
        <w:lastRenderedPageBreak/>
        <w:t xml:space="preserve">In relation to the composition of the images used in the headlines, the data show that it is common to use low-quality colour photographs, typically set in sporting contexts, featuring the athletes in sportswear and captured in close-up or medium shots. Although 58% of the images (n=8) depict women in sporting contexts, a significant number (32%, n=6) are set in non-sporting environments, such as newspaper editorial offices. In only one case (5%) was the context not identifiable. Additionally, in 16% of the images (n=3), female athletes shared the spotlight with male figures, a feature observed only on the front pages of </w:t>
      </w:r>
      <w:r>
        <w:rPr>
          <w:i/>
          <w:highlight w:val="white"/>
        </w:rPr>
        <w:t>Marca</w:t>
      </w:r>
      <w:r>
        <w:rPr>
          <w:highlight w:val="white"/>
        </w:rPr>
        <w:t>. Notably, 53% of the images (n=10) adopted an emotional focus, portraying the athletes in moments that emphasised joy, euphoria or tears (Table 1).</w:t>
      </w:r>
    </w:p>
    <w:p w14:paraId="632F1562" w14:textId="77777777" w:rsidR="005A6581" w:rsidRDefault="0064432F">
      <w:pPr>
        <w:spacing w:before="240" w:after="240"/>
        <w:jc w:val="both"/>
      </w:pPr>
      <w:r>
        <w:rPr>
          <w:b/>
        </w:rPr>
        <w:t>Table 1.</w:t>
      </w:r>
      <w:r>
        <w:t xml:space="preserve"> Number of headlines about women’s sport or female athletes with and without accompanying images on the analysed sports front pages, including the composition of the images.</w:t>
      </w:r>
    </w:p>
    <w:tbl>
      <w:tblPr>
        <w:tblStyle w:val="ab"/>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
        <w:gridCol w:w="540"/>
        <w:gridCol w:w="615"/>
        <w:gridCol w:w="390"/>
        <w:gridCol w:w="750"/>
        <w:gridCol w:w="495"/>
        <w:gridCol w:w="900"/>
        <w:gridCol w:w="540"/>
        <w:gridCol w:w="645"/>
        <w:gridCol w:w="330"/>
        <w:gridCol w:w="870"/>
        <w:gridCol w:w="450"/>
        <w:gridCol w:w="840"/>
        <w:gridCol w:w="240"/>
        <w:gridCol w:w="870"/>
      </w:tblGrid>
      <w:tr w:rsidR="005A6581" w14:paraId="627B81A5" w14:textId="77777777">
        <w:trPr>
          <w:trHeight w:val="2445"/>
        </w:trPr>
        <w:tc>
          <w:tcPr>
            <w:tcW w:w="855" w:type="dxa"/>
            <w:tcBorders>
              <w:top w:val="single" w:sz="8" w:space="0" w:color="000000"/>
              <w:left w:val="nil"/>
              <w:bottom w:val="single" w:sz="8" w:space="0" w:color="000000"/>
              <w:right w:val="nil"/>
            </w:tcBorders>
            <w:tcMar>
              <w:top w:w="0" w:type="dxa"/>
              <w:left w:w="100" w:type="dxa"/>
              <w:bottom w:w="0" w:type="dxa"/>
              <w:right w:w="100" w:type="dxa"/>
            </w:tcMar>
          </w:tcPr>
          <w:p w14:paraId="2054409F" w14:textId="77777777" w:rsidR="005A6581" w:rsidRDefault="005A6581">
            <w:pPr>
              <w:spacing w:before="240" w:line="276" w:lineRule="auto"/>
              <w:jc w:val="center"/>
            </w:pPr>
          </w:p>
        </w:tc>
        <w:tc>
          <w:tcPr>
            <w:tcW w:w="1155" w:type="dxa"/>
            <w:gridSpan w:val="2"/>
            <w:tcBorders>
              <w:top w:val="single" w:sz="8" w:space="0" w:color="000000"/>
              <w:left w:val="nil"/>
              <w:bottom w:val="single" w:sz="8" w:space="0" w:color="000000"/>
              <w:right w:val="nil"/>
            </w:tcBorders>
            <w:tcMar>
              <w:top w:w="0" w:type="dxa"/>
              <w:left w:w="100" w:type="dxa"/>
              <w:bottom w:w="0" w:type="dxa"/>
              <w:right w:w="100" w:type="dxa"/>
            </w:tcMar>
          </w:tcPr>
          <w:p w14:paraId="5B3FDC71" w14:textId="77777777" w:rsidR="005A6581" w:rsidRDefault="0064432F">
            <w:pPr>
              <w:spacing w:before="240" w:line="276" w:lineRule="auto"/>
              <w:jc w:val="both"/>
              <w:rPr>
                <w:sz w:val="22"/>
                <w:szCs w:val="22"/>
                <w:highlight w:val="yellow"/>
              </w:rPr>
            </w:pPr>
            <w:r>
              <w:rPr>
                <w:sz w:val="22"/>
                <w:szCs w:val="22"/>
              </w:rPr>
              <w:t xml:space="preserve">Headline with photo (Total No. and %) </w:t>
            </w:r>
          </w:p>
        </w:tc>
        <w:tc>
          <w:tcPr>
            <w:tcW w:w="1140" w:type="dxa"/>
            <w:gridSpan w:val="2"/>
            <w:tcBorders>
              <w:top w:val="single" w:sz="8" w:space="0" w:color="000000"/>
              <w:left w:val="nil"/>
              <w:bottom w:val="single" w:sz="8" w:space="0" w:color="000000"/>
              <w:right w:val="nil"/>
            </w:tcBorders>
            <w:tcMar>
              <w:top w:w="0" w:type="dxa"/>
              <w:left w:w="100" w:type="dxa"/>
              <w:bottom w:w="0" w:type="dxa"/>
              <w:right w:w="100" w:type="dxa"/>
            </w:tcMar>
          </w:tcPr>
          <w:p w14:paraId="3BF8BC3C" w14:textId="77777777" w:rsidR="005A6581" w:rsidRDefault="0064432F">
            <w:pPr>
              <w:spacing w:before="240" w:line="276" w:lineRule="auto"/>
              <w:jc w:val="both"/>
              <w:rPr>
                <w:sz w:val="22"/>
                <w:szCs w:val="22"/>
              </w:rPr>
            </w:pPr>
            <w:r>
              <w:rPr>
                <w:sz w:val="22"/>
                <w:szCs w:val="22"/>
              </w:rPr>
              <w:t>Headline without photo (Total No. and %)</w:t>
            </w:r>
          </w:p>
        </w:tc>
        <w:tc>
          <w:tcPr>
            <w:tcW w:w="1395" w:type="dxa"/>
            <w:gridSpan w:val="2"/>
            <w:tcBorders>
              <w:top w:val="single" w:sz="8" w:space="0" w:color="000000"/>
              <w:left w:val="nil"/>
              <w:bottom w:val="single" w:sz="8" w:space="0" w:color="000000"/>
              <w:right w:val="nil"/>
            </w:tcBorders>
            <w:tcMar>
              <w:top w:w="0" w:type="dxa"/>
              <w:left w:w="100" w:type="dxa"/>
              <w:bottom w:w="0" w:type="dxa"/>
              <w:right w:w="100" w:type="dxa"/>
            </w:tcMar>
          </w:tcPr>
          <w:p w14:paraId="505A13D3" w14:textId="77777777" w:rsidR="005A6581" w:rsidRDefault="0064432F">
            <w:pPr>
              <w:spacing w:before="240" w:line="276" w:lineRule="auto"/>
              <w:jc w:val="both"/>
              <w:rPr>
                <w:sz w:val="22"/>
                <w:szCs w:val="22"/>
              </w:rPr>
            </w:pPr>
            <w:r>
              <w:rPr>
                <w:sz w:val="22"/>
                <w:szCs w:val="22"/>
              </w:rPr>
              <w:t>Photo in which the female athlete shares the spotlight with men (Total No. and %)</w:t>
            </w:r>
          </w:p>
        </w:tc>
        <w:tc>
          <w:tcPr>
            <w:tcW w:w="1185" w:type="dxa"/>
            <w:gridSpan w:val="2"/>
            <w:tcBorders>
              <w:top w:val="single" w:sz="8" w:space="0" w:color="000000"/>
              <w:left w:val="nil"/>
              <w:bottom w:val="single" w:sz="8" w:space="0" w:color="000000"/>
              <w:right w:val="nil"/>
            </w:tcBorders>
            <w:tcMar>
              <w:top w:w="0" w:type="dxa"/>
              <w:left w:w="100" w:type="dxa"/>
              <w:bottom w:w="0" w:type="dxa"/>
              <w:right w:w="100" w:type="dxa"/>
            </w:tcMar>
          </w:tcPr>
          <w:p w14:paraId="2AB7712D" w14:textId="77777777" w:rsidR="005A6581" w:rsidRDefault="0064432F">
            <w:pPr>
              <w:spacing w:before="240" w:line="276" w:lineRule="auto"/>
              <w:jc w:val="both"/>
              <w:rPr>
                <w:sz w:val="22"/>
                <w:szCs w:val="22"/>
              </w:rPr>
            </w:pPr>
            <w:r>
              <w:rPr>
                <w:sz w:val="22"/>
                <w:szCs w:val="22"/>
              </w:rPr>
              <w:t>Photo in a sporting context (Total No. and %)</w:t>
            </w:r>
          </w:p>
        </w:tc>
        <w:tc>
          <w:tcPr>
            <w:tcW w:w="1200" w:type="dxa"/>
            <w:gridSpan w:val="2"/>
            <w:tcBorders>
              <w:top w:val="single" w:sz="8" w:space="0" w:color="000000"/>
              <w:left w:val="nil"/>
              <w:bottom w:val="single" w:sz="8" w:space="0" w:color="000000"/>
              <w:right w:val="nil"/>
            </w:tcBorders>
            <w:tcMar>
              <w:top w:w="0" w:type="dxa"/>
              <w:left w:w="100" w:type="dxa"/>
              <w:bottom w:w="0" w:type="dxa"/>
              <w:right w:w="100" w:type="dxa"/>
            </w:tcMar>
          </w:tcPr>
          <w:p w14:paraId="5A7D97EC" w14:textId="77777777" w:rsidR="005A6581" w:rsidRDefault="0064432F">
            <w:pPr>
              <w:spacing w:before="240" w:line="276" w:lineRule="auto"/>
              <w:jc w:val="both"/>
              <w:rPr>
                <w:sz w:val="22"/>
                <w:szCs w:val="22"/>
              </w:rPr>
            </w:pPr>
            <w:r>
              <w:rPr>
                <w:sz w:val="22"/>
                <w:szCs w:val="22"/>
              </w:rPr>
              <w:t>Photo in a non-sporting context (Total No. and %)</w:t>
            </w:r>
          </w:p>
        </w:tc>
        <w:tc>
          <w:tcPr>
            <w:tcW w:w="1290" w:type="dxa"/>
            <w:gridSpan w:val="2"/>
            <w:tcBorders>
              <w:top w:val="single" w:sz="8" w:space="0" w:color="000000"/>
              <w:left w:val="nil"/>
              <w:bottom w:val="single" w:sz="8" w:space="0" w:color="000000"/>
              <w:right w:val="nil"/>
            </w:tcBorders>
            <w:tcMar>
              <w:top w:w="0" w:type="dxa"/>
              <w:left w:w="100" w:type="dxa"/>
              <w:bottom w:w="0" w:type="dxa"/>
              <w:right w:w="100" w:type="dxa"/>
            </w:tcMar>
          </w:tcPr>
          <w:p w14:paraId="1F3A2B01" w14:textId="77777777" w:rsidR="005A6581" w:rsidRDefault="0064432F">
            <w:pPr>
              <w:spacing w:before="240" w:line="276" w:lineRule="auto"/>
              <w:jc w:val="both"/>
              <w:rPr>
                <w:sz w:val="22"/>
                <w:szCs w:val="22"/>
              </w:rPr>
            </w:pPr>
            <w:r>
              <w:rPr>
                <w:sz w:val="22"/>
                <w:szCs w:val="22"/>
              </w:rPr>
              <w:t>Photo with an emotional approach (Total No. and %)</w:t>
            </w:r>
          </w:p>
        </w:tc>
        <w:tc>
          <w:tcPr>
            <w:tcW w:w="1110" w:type="dxa"/>
            <w:gridSpan w:val="2"/>
            <w:tcBorders>
              <w:top w:val="single" w:sz="8" w:space="0" w:color="000000"/>
              <w:left w:val="nil"/>
              <w:bottom w:val="single" w:sz="8" w:space="0" w:color="000000"/>
              <w:right w:val="nil"/>
            </w:tcBorders>
            <w:tcMar>
              <w:top w:w="0" w:type="dxa"/>
              <w:left w:w="100" w:type="dxa"/>
              <w:bottom w:w="0" w:type="dxa"/>
              <w:right w:w="100" w:type="dxa"/>
            </w:tcMar>
          </w:tcPr>
          <w:p w14:paraId="159078EB" w14:textId="77777777" w:rsidR="005A6581" w:rsidRDefault="0064432F">
            <w:pPr>
              <w:spacing w:before="240" w:line="276" w:lineRule="auto"/>
              <w:jc w:val="both"/>
              <w:rPr>
                <w:sz w:val="22"/>
                <w:szCs w:val="22"/>
              </w:rPr>
            </w:pPr>
            <w:r>
              <w:rPr>
                <w:sz w:val="22"/>
                <w:szCs w:val="22"/>
              </w:rPr>
              <w:t>Photo in which context cannot be identified (Total No. and %)</w:t>
            </w:r>
          </w:p>
        </w:tc>
      </w:tr>
      <w:tr w:rsidR="005A6581" w14:paraId="3CA383CD" w14:textId="77777777">
        <w:trPr>
          <w:trHeight w:val="285"/>
        </w:trPr>
        <w:tc>
          <w:tcPr>
            <w:tcW w:w="855" w:type="dxa"/>
            <w:tcBorders>
              <w:top w:val="nil"/>
              <w:left w:val="nil"/>
              <w:bottom w:val="single" w:sz="8" w:space="0" w:color="000000"/>
              <w:right w:val="nil"/>
            </w:tcBorders>
            <w:tcMar>
              <w:top w:w="0" w:type="dxa"/>
              <w:left w:w="100" w:type="dxa"/>
              <w:bottom w:w="0" w:type="dxa"/>
              <w:right w:w="100" w:type="dxa"/>
            </w:tcMar>
          </w:tcPr>
          <w:p w14:paraId="37299293" w14:textId="77777777" w:rsidR="005A6581" w:rsidRDefault="0064432F">
            <w:pPr>
              <w:spacing w:before="240" w:line="276" w:lineRule="auto"/>
              <w:jc w:val="center"/>
              <w:rPr>
                <w:b/>
                <w:sz w:val="22"/>
                <w:szCs w:val="22"/>
              </w:rPr>
            </w:pPr>
            <w:r>
              <w:rPr>
                <w:b/>
                <w:sz w:val="22"/>
                <w:szCs w:val="22"/>
              </w:rPr>
              <w:t>AS</w:t>
            </w:r>
          </w:p>
        </w:tc>
        <w:tc>
          <w:tcPr>
            <w:tcW w:w="540" w:type="dxa"/>
            <w:tcBorders>
              <w:top w:val="nil"/>
              <w:left w:val="nil"/>
              <w:bottom w:val="single" w:sz="8" w:space="0" w:color="000000"/>
              <w:right w:val="nil"/>
            </w:tcBorders>
            <w:tcMar>
              <w:top w:w="0" w:type="dxa"/>
              <w:left w:w="100" w:type="dxa"/>
              <w:bottom w:w="0" w:type="dxa"/>
              <w:right w:w="100" w:type="dxa"/>
            </w:tcMar>
          </w:tcPr>
          <w:p w14:paraId="50E8E000" w14:textId="77777777" w:rsidR="005A6581" w:rsidRDefault="0064432F">
            <w:pPr>
              <w:spacing w:before="240" w:line="276" w:lineRule="auto"/>
              <w:jc w:val="center"/>
              <w:rPr>
                <w:sz w:val="22"/>
                <w:szCs w:val="22"/>
              </w:rPr>
            </w:pPr>
            <w:r>
              <w:rPr>
                <w:sz w:val="22"/>
                <w:szCs w:val="22"/>
              </w:rPr>
              <w:t>8</w:t>
            </w:r>
          </w:p>
        </w:tc>
        <w:tc>
          <w:tcPr>
            <w:tcW w:w="615" w:type="dxa"/>
            <w:tcBorders>
              <w:top w:val="nil"/>
              <w:left w:val="nil"/>
              <w:bottom w:val="single" w:sz="8" w:space="0" w:color="000000"/>
              <w:right w:val="nil"/>
            </w:tcBorders>
            <w:tcMar>
              <w:top w:w="0" w:type="dxa"/>
              <w:left w:w="100" w:type="dxa"/>
              <w:bottom w:w="0" w:type="dxa"/>
              <w:right w:w="100" w:type="dxa"/>
            </w:tcMar>
          </w:tcPr>
          <w:p w14:paraId="10E64E99" w14:textId="77777777" w:rsidR="005A6581" w:rsidRDefault="0064432F">
            <w:pPr>
              <w:spacing w:before="240" w:line="276" w:lineRule="auto"/>
              <w:jc w:val="center"/>
              <w:rPr>
                <w:sz w:val="22"/>
                <w:szCs w:val="22"/>
              </w:rPr>
            </w:pPr>
            <w:r>
              <w:rPr>
                <w:sz w:val="22"/>
                <w:szCs w:val="22"/>
              </w:rPr>
              <w:t>57%</w:t>
            </w:r>
          </w:p>
        </w:tc>
        <w:tc>
          <w:tcPr>
            <w:tcW w:w="390" w:type="dxa"/>
            <w:tcBorders>
              <w:top w:val="nil"/>
              <w:left w:val="nil"/>
              <w:bottom w:val="single" w:sz="8" w:space="0" w:color="000000"/>
              <w:right w:val="nil"/>
            </w:tcBorders>
            <w:tcMar>
              <w:top w:w="0" w:type="dxa"/>
              <w:left w:w="100" w:type="dxa"/>
              <w:bottom w:w="0" w:type="dxa"/>
              <w:right w:w="100" w:type="dxa"/>
            </w:tcMar>
          </w:tcPr>
          <w:p w14:paraId="6E61FAF4" w14:textId="77777777" w:rsidR="005A6581" w:rsidRDefault="0064432F">
            <w:pPr>
              <w:spacing w:before="240" w:line="276" w:lineRule="auto"/>
              <w:jc w:val="center"/>
              <w:rPr>
                <w:sz w:val="22"/>
                <w:szCs w:val="22"/>
              </w:rPr>
            </w:pPr>
            <w:r>
              <w:rPr>
                <w:sz w:val="22"/>
                <w:szCs w:val="22"/>
              </w:rPr>
              <w:t>6</w:t>
            </w:r>
          </w:p>
        </w:tc>
        <w:tc>
          <w:tcPr>
            <w:tcW w:w="750" w:type="dxa"/>
            <w:tcBorders>
              <w:top w:val="nil"/>
              <w:left w:val="nil"/>
              <w:bottom w:val="single" w:sz="8" w:space="0" w:color="000000"/>
              <w:right w:val="nil"/>
            </w:tcBorders>
            <w:tcMar>
              <w:top w:w="0" w:type="dxa"/>
              <w:left w:w="100" w:type="dxa"/>
              <w:bottom w:w="0" w:type="dxa"/>
              <w:right w:w="100" w:type="dxa"/>
            </w:tcMar>
          </w:tcPr>
          <w:p w14:paraId="3FE54565" w14:textId="77777777" w:rsidR="005A6581" w:rsidRDefault="0064432F">
            <w:pPr>
              <w:spacing w:before="240" w:line="276" w:lineRule="auto"/>
              <w:jc w:val="center"/>
              <w:rPr>
                <w:sz w:val="22"/>
                <w:szCs w:val="22"/>
              </w:rPr>
            </w:pPr>
            <w:r>
              <w:rPr>
                <w:sz w:val="22"/>
                <w:szCs w:val="22"/>
              </w:rPr>
              <w:t>43%</w:t>
            </w:r>
          </w:p>
        </w:tc>
        <w:tc>
          <w:tcPr>
            <w:tcW w:w="495" w:type="dxa"/>
            <w:tcBorders>
              <w:top w:val="nil"/>
              <w:left w:val="nil"/>
              <w:bottom w:val="single" w:sz="8" w:space="0" w:color="000000"/>
              <w:right w:val="nil"/>
            </w:tcBorders>
            <w:tcMar>
              <w:top w:w="0" w:type="dxa"/>
              <w:left w:w="100" w:type="dxa"/>
              <w:bottom w:w="0" w:type="dxa"/>
              <w:right w:w="100" w:type="dxa"/>
            </w:tcMar>
          </w:tcPr>
          <w:p w14:paraId="59A41D1D" w14:textId="77777777" w:rsidR="005A6581" w:rsidRDefault="0064432F">
            <w:pPr>
              <w:spacing w:before="240" w:line="276" w:lineRule="auto"/>
              <w:jc w:val="center"/>
              <w:rPr>
                <w:sz w:val="22"/>
                <w:szCs w:val="22"/>
              </w:rPr>
            </w:pPr>
            <w:r>
              <w:rPr>
                <w:sz w:val="22"/>
                <w:szCs w:val="22"/>
              </w:rPr>
              <w:t>-</w:t>
            </w:r>
          </w:p>
        </w:tc>
        <w:tc>
          <w:tcPr>
            <w:tcW w:w="900" w:type="dxa"/>
            <w:tcBorders>
              <w:top w:val="nil"/>
              <w:left w:val="nil"/>
              <w:bottom w:val="single" w:sz="8" w:space="0" w:color="000000"/>
              <w:right w:val="nil"/>
            </w:tcBorders>
            <w:tcMar>
              <w:top w:w="0" w:type="dxa"/>
              <w:left w:w="100" w:type="dxa"/>
              <w:bottom w:w="0" w:type="dxa"/>
              <w:right w:w="100" w:type="dxa"/>
            </w:tcMar>
          </w:tcPr>
          <w:p w14:paraId="07FDD12F" w14:textId="77777777" w:rsidR="005A6581" w:rsidRDefault="0064432F">
            <w:pPr>
              <w:spacing w:before="240" w:line="276" w:lineRule="auto"/>
              <w:jc w:val="center"/>
              <w:rPr>
                <w:sz w:val="22"/>
                <w:szCs w:val="22"/>
              </w:rPr>
            </w:pPr>
            <w:r>
              <w:rPr>
                <w:sz w:val="22"/>
                <w:szCs w:val="22"/>
              </w:rPr>
              <w:t>-</w:t>
            </w:r>
          </w:p>
        </w:tc>
        <w:tc>
          <w:tcPr>
            <w:tcW w:w="540" w:type="dxa"/>
            <w:tcBorders>
              <w:top w:val="nil"/>
              <w:left w:val="nil"/>
              <w:bottom w:val="single" w:sz="8" w:space="0" w:color="000000"/>
              <w:right w:val="nil"/>
            </w:tcBorders>
            <w:tcMar>
              <w:top w:w="0" w:type="dxa"/>
              <w:left w:w="100" w:type="dxa"/>
              <w:bottom w:w="0" w:type="dxa"/>
              <w:right w:w="100" w:type="dxa"/>
            </w:tcMar>
          </w:tcPr>
          <w:p w14:paraId="2F4E9DEA" w14:textId="77777777" w:rsidR="005A6581" w:rsidRDefault="0064432F">
            <w:pPr>
              <w:spacing w:before="240" w:line="276" w:lineRule="auto"/>
              <w:jc w:val="center"/>
              <w:rPr>
                <w:sz w:val="22"/>
                <w:szCs w:val="22"/>
              </w:rPr>
            </w:pPr>
            <w:r>
              <w:rPr>
                <w:sz w:val="22"/>
                <w:szCs w:val="22"/>
              </w:rPr>
              <w:t>5</w:t>
            </w:r>
          </w:p>
        </w:tc>
        <w:tc>
          <w:tcPr>
            <w:tcW w:w="645" w:type="dxa"/>
            <w:tcBorders>
              <w:top w:val="nil"/>
              <w:left w:val="nil"/>
              <w:bottom w:val="single" w:sz="8" w:space="0" w:color="000000"/>
              <w:right w:val="nil"/>
            </w:tcBorders>
            <w:tcMar>
              <w:top w:w="0" w:type="dxa"/>
              <w:left w:w="100" w:type="dxa"/>
              <w:bottom w:w="0" w:type="dxa"/>
              <w:right w:w="100" w:type="dxa"/>
            </w:tcMar>
          </w:tcPr>
          <w:p w14:paraId="760CE96E" w14:textId="77777777" w:rsidR="005A6581" w:rsidRDefault="0064432F">
            <w:pPr>
              <w:spacing w:before="240" w:line="276" w:lineRule="auto"/>
              <w:jc w:val="center"/>
              <w:rPr>
                <w:sz w:val="22"/>
                <w:szCs w:val="22"/>
              </w:rPr>
            </w:pPr>
            <w:r>
              <w:rPr>
                <w:sz w:val="22"/>
                <w:szCs w:val="22"/>
              </w:rPr>
              <w:t>63%</w:t>
            </w:r>
          </w:p>
        </w:tc>
        <w:tc>
          <w:tcPr>
            <w:tcW w:w="330" w:type="dxa"/>
            <w:tcBorders>
              <w:top w:val="nil"/>
              <w:left w:val="nil"/>
              <w:bottom w:val="single" w:sz="8" w:space="0" w:color="000000"/>
              <w:right w:val="nil"/>
            </w:tcBorders>
            <w:tcMar>
              <w:top w:w="0" w:type="dxa"/>
              <w:left w:w="100" w:type="dxa"/>
              <w:bottom w:w="0" w:type="dxa"/>
              <w:right w:w="100" w:type="dxa"/>
            </w:tcMar>
          </w:tcPr>
          <w:p w14:paraId="68640F7A" w14:textId="77777777" w:rsidR="005A6581" w:rsidRDefault="0064432F">
            <w:pPr>
              <w:spacing w:before="240" w:line="276" w:lineRule="auto"/>
              <w:jc w:val="center"/>
              <w:rPr>
                <w:sz w:val="22"/>
                <w:szCs w:val="22"/>
              </w:rPr>
            </w:pPr>
            <w:r>
              <w:rPr>
                <w:sz w:val="22"/>
                <w:szCs w:val="22"/>
              </w:rPr>
              <w:t>2</w:t>
            </w:r>
          </w:p>
        </w:tc>
        <w:tc>
          <w:tcPr>
            <w:tcW w:w="870" w:type="dxa"/>
            <w:tcBorders>
              <w:top w:val="nil"/>
              <w:left w:val="nil"/>
              <w:bottom w:val="single" w:sz="8" w:space="0" w:color="000000"/>
              <w:right w:val="nil"/>
            </w:tcBorders>
            <w:tcMar>
              <w:top w:w="0" w:type="dxa"/>
              <w:left w:w="100" w:type="dxa"/>
              <w:bottom w:w="0" w:type="dxa"/>
              <w:right w:w="100" w:type="dxa"/>
            </w:tcMar>
          </w:tcPr>
          <w:p w14:paraId="61B2B886" w14:textId="77777777" w:rsidR="005A6581" w:rsidRDefault="0064432F">
            <w:pPr>
              <w:spacing w:before="240" w:line="276" w:lineRule="auto"/>
              <w:jc w:val="center"/>
              <w:rPr>
                <w:sz w:val="22"/>
                <w:szCs w:val="22"/>
              </w:rPr>
            </w:pPr>
            <w:r>
              <w:rPr>
                <w:sz w:val="22"/>
                <w:szCs w:val="22"/>
              </w:rPr>
              <w:t>25%</w:t>
            </w:r>
          </w:p>
        </w:tc>
        <w:tc>
          <w:tcPr>
            <w:tcW w:w="450" w:type="dxa"/>
            <w:tcBorders>
              <w:top w:val="nil"/>
              <w:left w:val="nil"/>
              <w:bottom w:val="single" w:sz="8" w:space="0" w:color="000000"/>
              <w:right w:val="nil"/>
            </w:tcBorders>
            <w:tcMar>
              <w:top w:w="0" w:type="dxa"/>
              <w:left w:w="100" w:type="dxa"/>
              <w:bottom w:w="0" w:type="dxa"/>
              <w:right w:w="100" w:type="dxa"/>
            </w:tcMar>
          </w:tcPr>
          <w:p w14:paraId="205DDA87" w14:textId="77777777" w:rsidR="005A6581" w:rsidRDefault="0064432F">
            <w:pPr>
              <w:spacing w:before="240" w:line="276" w:lineRule="auto"/>
              <w:jc w:val="center"/>
              <w:rPr>
                <w:sz w:val="22"/>
                <w:szCs w:val="22"/>
              </w:rPr>
            </w:pPr>
            <w:r>
              <w:rPr>
                <w:sz w:val="22"/>
                <w:szCs w:val="22"/>
              </w:rPr>
              <w:t>5</w:t>
            </w:r>
          </w:p>
        </w:tc>
        <w:tc>
          <w:tcPr>
            <w:tcW w:w="840" w:type="dxa"/>
            <w:tcBorders>
              <w:top w:val="nil"/>
              <w:left w:val="nil"/>
              <w:bottom w:val="single" w:sz="8" w:space="0" w:color="000000"/>
              <w:right w:val="nil"/>
            </w:tcBorders>
            <w:tcMar>
              <w:top w:w="0" w:type="dxa"/>
              <w:left w:w="100" w:type="dxa"/>
              <w:bottom w:w="0" w:type="dxa"/>
              <w:right w:w="100" w:type="dxa"/>
            </w:tcMar>
          </w:tcPr>
          <w:p w14:paraId="4B952B75" w14:textId="77777777" w:rsidR="005A6581" w:rsidRDefault="0064432F">
            <w:pPr>
              <w:spacing w:before="240" w:line="276" w:lineRule="auto"/>
              <w:jc w:val="center"/>
              <w:rPr>
                <w:sz w:val="22"/>
                <w:szCs w:val="22"/>
              </w:rPr>
            </w:pPr>
            <w:r>
              <w:rPr>
                <w:sz w:val="22"/>
                <w:szCs w:val="22"/>
              </w:rPr>
              <w:t>63%</w:t>
            </w:r>
          </w:p>
        </w:tc>
        <w:tc>
          <w:tcPr>
            <w:tcW w:w="240" w:type="dxa"/>
            <w:tcBorders>
              <w:top w:val="nil"/>
              <w:left w:val="nil"/>
              <w:bottom w:val="single" w:sz="8" w:space="0" w:color="000000"/>
              <w:right w:val="nil"/>
            </w:tcBorders>
            <w:tcMar>
              <w:top w:w="0" w:type="dxa"/>
              <w:left w:w="100" w:type="dxa"/>
              <w:bottom w:w="0" w:type="dxa"/>
              <w:right w:w="100" w:type="dxa"/>
            </w:tcMar>
          </w:tcPr>
          <w:p w14:paraId="34B10D1C" w14:textId="77777777" w:rsidR="005A6581" w:rsidRDefault="0064432F">
            <w:pPr>
              <w:spacing w:before="240" w:line="276" w:lineRule="auto"/>
              <w:jc w:val="center"/>
              <w:rPr>
                <w:sz w:val="22"/>
                <w:szCs w:val="22"/>
              </w:rPr>
            </w:pPr>
            <w:r>
              <w:rPr>
                <w:sz w:val="22"/>
                <w:szCs w:val="22"/>
              </w:rPr>
              <w:t>-</w:t>
            </w:r>
          </w:p>
        </w:tc>
        <w:tc>
          <w:tcPr>
            <w:tcW w:w="870" w:type="dxa"/>
            <w:tcBorders>
              <w:top w:val="nil"/>
              <w:left w:val="nil"/>
              <w:bottom w:val="single" w:sz="8" w:space="0" w:color="000000"/>
              <w:right w:val="nil"/>
            </w:tcBorders>
            <w:tcMar>
              <w:top w:w="0" w:type="dxa"/>
              <w:left w:w="100" w:type="dxa"/>
              <w:bottom w:w="0" w:type="dxa"/>
              <w:right w:w="100" w:type="dxa"/>
            </w:tcMar>
          </w:tcPr>
          <w:p w14:paraId="0750AA57" w14:textId="77777777" w:rsidR="005A6581" w:rsidRDefault="0064432F">
            <w:pPr>
              <w:spacing w:before="240" w:line="276" w:lineRule="auto"/>
              <w:jc w:val="center"/>
              <w:rPr>
                <w:sz w:val="22"/>
                <w:szCs w:val="22"/>
              </w:rPr>
            </w:pPr>
            <w:r>
              <w:rPr>
                <w:sz w:val="22"/>
                <w:szCs w:val="22"/>
              </w:rPr>
              <w:t>-</w:t>
            </w:r>
          </w:p>
        </w:tc>
      </w:tr>
      <w:tr w:rsidR="005A6581" w14:paraId="3D491527" w14:textId="77777777">
        <w:trPr>
          <w:trHeight w:val="285"/>
        </w:trPr>
        <w:tc>
          <w:tcPr>
            <w:tcW w:w="855" w:type="dxa"/>
            <w:tcBorders>
              <w:top w:val="nil"/>
              <w:left w:val="nil"/>
              <w:bottom w:val="single" w:sz="8" w:space="0" w:color="000000"/>
              <w:right w:val="nil"/>
            </w:tcBorders>
            <w:tcMar>
              <w:top w:w="0" w:type="dxa"/>
              <w:left w:w="100" w:type="dxa"/>
              <w:bottom w:w="0" w:type="dxa"/>
              <w:right w:w="100" w:type="dxa"/>
            </w:tcMar>
          </w:tcPr>
          <w:p w14:paraId="68043227" w14:textId="77777777" w:rsidR="005A6581" w:rsidRDefault="0064432F">
            <w:pPr>
              <w:spacing w:before="240" w:line="276" w:lineRule="auto"/>
              <w:jc w:val="center"/>
              <w:rPr>
                <w:b/>
                <w:sz w:val="22"/>
                <w:szCs w:val="22"/>
              </w:rPr>
            </w:pPr>
            <w:r>
              <w:rPr>
                <w:b/>
                <w:sz w:val="22"/>
                <w:szCs w:val="22"/>
              </w:rPr>
              <w:t>Marca</w:t>
            </w:r>
          </w:p>
        </w:tc>
        <w:tc>
          <w:tcPr>
            <w:tcW w:w="540" w:type="dxa"/>
            <w:tcBorders>
              <w:top w:val="nil"/>
              <w:left w:val="nil"/>
              <w:bottom w:val="single" w:sz="8" w:space="0" w:color="000000"/>
              <w:right w:val="nil"/>
            </w:tcBorders>
            <w:tcMar>
              <w:top w:w="0" w:type="dxa"/>
              <w:left w:w="100" w:type="dxa"/>
              <w:bottom w:w="0" w:type="dxa"/>
              <w:right w:w="100" w:type="dxa"/>
            </w:tcMar>
          </w:tcPr>
          <w:p w14:paraId="0404E47A" w14:textId="77777777" w:rsidR="005A6581" w:rsidRDefault="0064432F">
            <w:pPr>
              <w:spacing w:before="240" w:line="276" w:lineRule="auto"/>
              <w:jc w:val="center"/>
              <w:rPr>
                <w:sz w:val="22"/>
                <w:szCs w:val="22"/>
              </w:rPr>
            </w:pPr>
            <w:r>
              <w:rPr>
                <w:sz w:val="22"/>
                <w:szCs w:val="22"/>
              </w:rPr>
              <w:t>11</w:t>
            </w:r>
          </w:p>
        </w:tc>
        <w:tc>
          <w:tcPr>
            <w:tcW w:w="615" w:type="dxa"/>
            <w:tcBorders>
              <w:top w:val="nil"/>
              <w:left w:val="nil"/>
              <w:bottom w:val="single" w:sz="8" w:space="0" w:color="000000"/>
              <w:right w:val="nil"/>
            </w:tcBorders>
            <w:tcMar>
              <w:top w:w="0" w:type="dxa"/>
              <w:left w:w="100" w:type="dxa"/>
              <w:bottom w:w="0" w:type="dxa"/>
              <w:right w:w="100" w:type="dxa"/>
            </w:tcMar>
          </w:tcPr>
          <w:p w14:paraId="4ABDDBC9" w14:textId="77777777" w:rsidR="005A6581" w:rsidRDefault="0064432F">
            <w:pPr>
              <w:spacing w:before="240" w:line="276" w:lineRule="auto"/>
              <w:jc w:val="center"/>
              <w:rPr>
                <w:sz w:val="22"/>
                <w:szCs w:val="22"/>
              </w:rPr>
            </w:pPr>
            <w:r>
              <w:rPr>
                <w:sz w:val="22"/>
                <w:szCs w:val="22"/>
              </w:rPr>
              <w:t>79%</w:t>
            </w:r>
          </w:p>
        </w:tc>
        <w:tc>
          <w:tcPr>
            <w:tcW w:w="390" w:type="dxa"/>
            <w:tcBorders>
              <w:top w:val="nil"/>
              <w:left w:val="nil"/>
              <w:bottom w:val="single" w:sz="8" w:space="0" w:color="000000"/>
              <w:right w:val="nil"/>
            </w:tcBorders>
            <w:tcMar>
              <w:top w:w="0" w:type="dxa"/>
              <w:left w:w="100" w:type="dxa"/>
              <w:bottom w:w="0" w:type="dxa"/>
              <w:right w:w="100" w:type="dxa"/>
            </w:tcMar>
          </w:tcPr>
          <w:p w14:paraId="70A58216" w14:textId="77777777" w:rsidR="005A6581" w:rsidRDefault="0064432F">
            <w:pPr>
              <w:spacing w:before="240" w:line="276" w:lineRule="auto"/>
              <w:jc w:val="center"/>
              <w:rPr>
                <w:sz w:val="22"/>
                <w:szCs w:val="22"/>
              </w:rPr>
            </w:pPr>
            <w:r>
              <w:rPr>
                <w:sz w:val="22"/>
                <w:szCs w:val="22"/>
              </w:rPr>
              <w:t>3</w:t>
            </w:r>
          </w:p>
        </w:tc>
        <w:tc>
          <w:tcPr>
            <w:tcW w:w="750" w:type="dxa"/>
            <w:tcBorders>
              <w:top w:val="nil"/>
              <w:left w:val="nil"/>
              <w:bottom w:val="single" w:sz="8" w:space="0" w:color="000000"/>
              <w:right w:val="nil"/>
            </w:tcBorders>
            <w:tcMar>
              <w:top w:w="0" w:type="dxa"/>
              <w:left w:w="100" w:type="dxa"/>
              <w:bottom w:w="0" w:type="dxa"/>
              <w:right w:w="100" w:type="dxa"/>
            </w:tcMar>
          </w:tcPr>
          <w:p w14:paraId="187C7E8E" w14:textId="77777777" w:rsidR="005A6581" w:rsidRDefault="0064432F">
            <w:pPr>
              <w:spacing w:before="240" w:line="276" w:lineRule="auto"/>
              <w:jc w:val="center"/>
              <w:rPr>
                <w:sz w:val="22"/>
                <w:szCs w:val="22"/>
              </w:rPr>
            </w:pPr>
            <w:r>
              <w:rPr>
                <w:sz w:val="22"/>
                <w:szCs w:val="22"/>
              </w:rPr>
              <w:t>21%</w:t>
            </w:r>
          </w:p>
        </w:tc>
        <w:tc>
          <w:tcPr>
            <w:tcW w:w="495" w:type="dxa"/>
            <w:tcBorders>
              <w:top w:val="nil"/>
              <w:left w:val="nil"/>
              <w:bottom w:val="single" w:sz="8" w:space="0" w:color="000000"/>
              <w:right w:val="nil"/>
            </w:tcBorders>
            <w:tcMar>
              <w:top w:w="0" w:type="dxa"/>
              <w:left w:w="100" w:type="dxa"/>
              <w:bottom w:w="0" w:type="dxa"/>
              <w:right w:w="100" w:type="dxa"/>
            </w:tcMar>
          </w:tcPr>
          <w:p w14:paraId="7B0FCB19" w14:textId="77777777" w:rsidR="005A6581" w:rsidRDefault="0064432F">
            <w:pPr>
              <w:spacing w:before="240" w:line="276" w:lineRule="auto"/>
              <w:jc w:val="center"/>
              <w:rPr>
                <w:sz w:val="22"/>
                <w:szCs w:val="22"/>
              </w:rPr>
            </w:pPr>
            <w:r>
              <w:rPr>
                <w:sz w:val="22"/>
                <w:szCs w:val="22"/>
              </w:rPr>
              <w:t>3</w:t>
            </w:r>
          </w:p>
        </w:tc>
        <w:tc>
          <w:tcPr>
            <w:tcW w:w="900" w:type="dxa"/>
            <w:tcBorders>
              <w:top w:val="nil"/>
              <w:left w:val="nil"/>
              <w:bottom w:val="single" w:sz="8" w:space="0" w:color="000000"/>
              <w:right w:val="nil"/>
            </w:tcBorders>
            <w:tcMar>
              <w:top w:w="0" w:type="dxa"/>
              <w:left w:w="100" w:type="dxa"/>
              <w:bottom w:w="0" w:type="dxa"/>
              <w:right w:w="100" w:type="dxa"/>
            </w:tcMar>
          </w:tcPr>
          <w:p w14:paraId="27EF8328" w14:textId="77777777" w:rsidR="005A6581" w:rsidRDefault="0064432F">
            <w:pPr>
              <w:spacing w:before="240" w:line="276" w:lineRule="auto"/>
              <w:jc w:val="center"/>
              <w:rPr>
                <w:sz w:val="22"/>
                <w:szCs w:val="22"/>
              </w:rPr>
            </w:pPr>
            <w:r>
              <w:rPr>
                <w:sz w:val="22"/>
                <w:szCs w:val="22"/>
              </w:rPr>
              <w:t>27%</w:t>
            </w:r>
          </w:p>
        </w:tc>
        <w:tc>
          <w:tcPr>
            <w:tcW w:w="540" w:type="dxa"/>
            <w:tcBorders>
              <w:top w:val="nil"/>
              <w:left w:val="nil"/>
              <w:bottom w:val="single" w:sz="8" w:space="0" w:color="000000"/>
              <w:right w:val="nil"/>
            </w:tcBorders>
            <w:tcMar>
              <w:top w:w="0" w:type="dxa"/>
              <w:left w:w="100" w:type="dxa"/>
              <w:bottom w:w="0" w:type="dxa"/>
              <w:right w:w="100" w:type="dxa"/>
            </w:tcMar>
          </w:tcPr>
          <w:p w14:paraId="2A875FC9" w14:textId="77777777" w:rsidR="005A6581" w:rsidRDefault="0064432F">
            <w:pPr>
              <w:spacing w:before="240" w:line="276" w:lineRule="auto"/>
              <w:jc w:val="center"/>
              <w:rPr>
                <w:sz w:val="22"/>
                <w:szCs w:val="22"/>
              </w:rPr>
            </w:pPr>
            <w:r>
              <w:rPr>
                <w:sz w:val="22"/>
                <w:szCs w:val="22"/>
              </w:rPr>
              <w:t>6</w:t>
            </w:r>
          </w:p>
        </w:tc>
        <w:tc>
          <w:tcPr>
            <w:tcW w:w="645" w:type="dxa"/>
            <w:tcBorders>
              <w:top w:val="nil"/>
              <w:left w:val="nil"/>
              <w:bottom w:val="single" w:sz="8" w:space="0" w:color="000000"/>
              <w:right w:val="nil"/>
            </w:tcBorders>
            <w:tcMar>
              <w:top w:w="0" w:type="dxa"/>
              <w:left w:w="100" w:type="dxa"/>
              <w:bottom w:w="0" w:type="dxa"/>
              <w:right w:w="100" w:type="dxa"/>
            </w:tcMar>
          </w:tcPr>
          <w:p w14:paraId="26727C16" w14:textId="77777777" w:rsidR="005A6581" w:rsidRDefault="0064432F">
            <w:pPr>
              <w:spacing w:before="240" w:line="276" w:lineRule="auto"/>
              <w:jc w:val="center"/>
              <w:rPr>
                <w:sz w:val="22"/>
                <w:szCs w:val="22"/>
              </w:rPr>
            </w:pPr>
            <w:r>
              <w:rPr>
                <w:sz w:val="22"/>
                <w:szCs w:val="22"/>
              </w:rPr>
              <w:t>55%</w:t>
            </w:r>
          </w:p>
        </w:tc>
        <w:tc>
          <w:tcPr>
            <w:tcW w:w="330" w:type="dxa"/>
            <w:tcBorders>
              <w:top w:val="nil"/>
              <w:left w:val="nil"/>
              <w:bottom w:val="single" w:sz="8" w:space="0" w:color="000000"/>
              <w:right w:val="nil"/>
            </w:tcBorders>
            <w:tcMar>
              <w:top w:w="0" w:type="dxa"/>
              <w:left w:w="100" w:type="dxa"/>
              <w:bottom w:w="0" w:type="dxa"/>
              <w:right w:w="100" w:type="dxa"/>
            </w:tcMar>
          </w:tcPr>
          <w:p w14:paraId="110F1835" w14:textId="77777777" w:rsidR="005A6581" w:rsidRDefault="0064432F">
            <w:pPr>
              <w:spacing w:before="240" w:line="276" w:lineRule="auto"/>
              <w:jc w:val="center"/>
              <w:rPr>
                <w:sz w:val="22"/>
                <w:szCs w:val="22"/>
              </w:rPr>
            </w:pPr>
            <w:r>
              <w:rPr>
                <w:sz w:val="22"/>
                <w:szCs w:val="22"/>
              </w:rPr>
              <w:t>4</w:t>
            </w:r>
          </w:p>
        </w:tc>
        <w:tc>
          <w:tcPr>
            <w:tcW w:w="870" w:type="dxa"/>
            <w:tcBorders>
              <w:top w:val="nil"/>
              <w:left w:val="nil"/>
              <w:bottom w:val="single" w:sz="8" w:space="0" w:color="000000"/>
              <w:right w:val="nil"/>
            </w:tcBorders>
            <w:tcMar>
              <w:top w:w="0" w:type="dxa"/>
              <w:left w:w="100" w:type="dxa"/>
              <w:bottom w:w="0" w:type="dxa"/>
              <w:right w:w="100" w:type="dxa"/>
            </w:tcMar>
          </w:tcPr>
          <w:p w14:paraId="0B207649" w14:textId="77777777" w:rsidR="005A6581" w:rsidRDefault="0064432F">
            <w:pPr>
              <w:spacing w:before="240" w:line="276" w:lineRule="auto"/>
              <w:jc w:val="center"/>
              <w:rPr>
                <w:sz w:val="22"/>
                <w:szCs w:val="22"/>
              </w:rPr>
            </w:pPr>
            <w:r>
              <w:rPr>
                <w:sz w:val="22"/>
                <w:szCs w:val="22"/>
              </w:rPr>
              <w:t>36%</w:t>
            </w:r>
          </w:p>
        </w:tc>
        <w:tc>
          <w:tcPr>
            <w:tcW w:w="450" w:type="dxa"/>
            <w:tcBorders>
              <w:top w:val="nil"/>
              <w:left w:val="nil"/>
              <w:bottom w:val="single" w:sz="8" w:space="0" w:color="000000"/>
              <w:right w:val="nil"/>
            </w:tcBorders>
            <w:tcMar>
              <w:top w:w="0" w:type="dxa"/>
              <w:left w:w="100" w:type="dxa"/>
              <w:bottom w:w="0" w:type="dxa"/>
              <w:right w:w="100" w:type="dxa"/>
            </w:tcMar>
          </w:tcPr>
          <w:p w14:paraId="77667781" w14:textId="77777777" w:rsidR="005A6581" w:rsidRDefault="0064432F">
            <w:pPr>
              <w:spacing w:before="240" w:line="276" w:lineRule="auto"/>
              <w:jc w:val="center"/>
              <w:rPr>
                <w:sz w:val="22"/>
                <w:szCs w:val="22"/>
              </w:rPr>
            </w:pPr>
            <w:r>
              <w:rPr>
                <w:sz w:val="22"/>
                <w:szCs w:val="22"/>
              </w:rPr>
              <w:t>5</w:t>
            </w:r>
          </w:p>
        </w:tc>
        <w:tc>
          <w:tcPr>
            <w:tcW w:w="840" w:type="dxa"/>
            <w:tcBorders>
              <w:top w:val="nil"/>
              <w:left w:val="nil"/>
              <w:bottom w:val="single" w:sz="8" w:space="0" w:color="000000"/>
              <w:right w:val="nil"/>
            </w:tcBorders>
            <w:tcMar>
              <w:top w:w="0" w:type="dxa"/>
              <w:left w:w="100" w:type="dxa"/>
              <w:bottom w:w="0" w:type="dxa"/>
              <w:right w:w="100" w:type="dxa"/>
            </w:tcMar>
          </w:tcPr>
          <w:p w14:paraId="3103776A" w14:textId="77777777" w:rsidR="005A6581" w:rsidRDefault="0064432F">
            <w:pPr>
              <w:spacing w:before="240" w:line="276" w:lineRule="auto"/>
              <w:jc w:val="center"/>
              <w:rPr>
                <w:sz w:val="22"/>
                <w:szCs w:val="22"/>
              </w:rPr>
            </w:pPr>
            <w:r>
              <w:rPr>
                <w:sz w:val="22"/>
                <w:szCs w:val="22"/>
              </w:rPr>
              <w:t>45%</w:t>
            </w:r>
          </w:p>
        </w:tc>
        <w:tc>
          <w:tcPr>
            <w:tcW w:w="240" w:type="dxa"/>
            <w:tcBorders>
              <w:top w:val="nil"/>
              <w:left w:val="nil"/>
              <w:bottom w:val="single" w:sz="8" w:space="0" w:color="000000"/>
              <w:right w:val="nil"/>
            </w:tcBorders>
            <w:tcMar>
              <w:top w:w="0" w:type="dxa"/>
              <w:left w:w="100" w:type="dxa"/>
              <w:bottom w:w="0" w:type="dxa"/>
              <w:right w:w="100" w:type="dxa"/>
            </w:tcMar>
          </w:tcPr>
          <w:p w14:paraId="6D08F88B" w14:textId="77777777" w:rsidR="005A6581" w:rsidRDefault="0064432F">
            <w:pPr>
              <w:spacing w:before="240" w:line="276" w:lineRule="auto"/>
              <w:jc w:val="center"/>
              <w:rPr>
                <w:sz w:val="22"/>
                <w:szCs w:val="22"/>
              </w:rPr>
            </w:pPr>
            <w:r>
              <w:rPr>
                <w:sz w:val="22"/>
                <w:szCs w:val="22"/>
              </w:rPr>
              <w:t>1</w:t>
            </w:r>
          </w:p>
        </w:tc>
        <w:tc>
          <w:tcPr>
            <w:tcW w:w="870" w:type="dxa"/>
            <w:tcBorders>
              <w:top w:val="nil"/>
              <w:left w:val="nil"/>
              <w:bottom w:val="single" w:sz="8" w:space="0" w:color="000000"/>
              <w:right w:val="nil"/>
            </w:tcBorders>
            <w:tcMar>
              <w:top w:w="0" w:type="dxa"/>
              <w:left w:w="100" w:type="dxa"/>
              <w:bottom w:w="0" w:type="dxa"/>
              <w:right w:w="100" w:type="dxa"/>
            </w:tcMar>
          </w:tcPr>
          <w:p w14:paraId="0C33E0F0" w14:textId="77777777" w:rsidR="005A6581" w:rsidRDefault="0064432F">
            <w:pPr>
              <w:spacing w:before="240" w:line="276" w:lineRule="auto"/>
              <w:jc w:val="center"/>
              <w:rPr>
                <w:sz w:val="22"/>
                <w:szCs w:val="22"/>
              </w:rPr>
            </w:pPr>
            <w:r>
              <w:rPr>
                <w:sz w:val="22"/>
                <w:szCs w:val="22"/>
              </w:rPr>
              <w:t>9%</w:t>
            </w:r>
          </w:p>
        </w:tc>
      </w:tr>
      <w:tr w:rsidR="005A6581" w14:paraId="7C0BAAA5" w14:textId="77777777">
        <w:trPr>
          <w:trHeight w:val="285"/>
        </w:trPr>
        <w:tc>
          <w:tcPr>
            <w:tcW w:w="855" w:type="dxa"/>
            <w:tcBorders>
              <w:top w:val="nil"/>
              <w:left w:val="nil"/>
              <w:bottom w:val="single" w:sz="8" w:space="0" w:color="000000"/>
              <w:right w:val="nil"/>
            </w:tcBorders>
            <w:tcMar>
              <w:top w:w="0" w:type="dxa"/>
              <w:left w:w="100" w:type="dxa"/>
              <w:bottom w:w="0" w:type="dxa"/>
              <w:right w:w="100" w:type="dxa"/>
            </w:tcMar>
          </w:tcPr>
          <w:p w14:paraId="37BD5B53" w14:textId="77777777" w:rsidR="005A6581" w:rsidRDefault="0064432F">
            <w:pPr>
              <w:spacing w:before="240" w:line="276" w:lineRule="auto"/>
              <w:jc w:val="center"/>
              <w:rPr>
                <w:b/>
                <w:sz w:val="22"/>
                <w:szCs w:val="22"/>
              </w:rPr>
            </w:pPr>
            <w:r>
              <w:rPr>
                <w:b/>
                <w:sz w:val="22"/>
                <w:szCs w:val="22"/>
              </w:rPr>
              <w:t>Total</w:t>
            </w:r>
          </w:p>
        </w:tc>
        <w:tc>
          <w:tcPr>
            <w:tcW w:w="540" w:type="dxa"/>
            <w:tcBorders>
              <w:top w:val="nil"/>
              <w:left w:val="nil"/>
              <w:bottom w:val="single" w:sz="8" w:space="0" w:color="000000"/>
              <w:right w:val="nil"/>
            </w:tcBorders>
            <w:tcMar>
              <w:top w:w="0" w:type="dxa"/>
              <w:left w:w="100" w:type="dxa"/>
              <w:bottom w:w="0" w:type="dxa"/>
              <w:right w:w="100" w:type="dxa"/>
            </w:tcMar>
          </w:tcPr>
          <w:p w14:paraId="7665570A" w14:textId="77777777" w:rsidR="005A6581" w:rsidRDefault="0064432F">
            <w:pPr>
              <w:spacing w:before="240" w:line="276" w:lineRule="auto"/>
              <w:jc w:val="center"/>
              <w:rPr>
                <w:sz w:val="22"/>
                <w:szCs w:val="22"/>
              </w:rPr>
            </w:pPr>
            <w:r>
              <w:rPr>
                <w:sz w:val="22"/>
                <w:szCs w:val="22"/>
              </w:rPr>
              <w:t>19</w:t>
            </w:r>
          </w:p>
        </w:tc>
        <w:tc>
          <w:tcPr>
            <w:tcW w:w="615" w:type="dxa"/>
            <w:tcBorders>
              <w:top w:val="nil"/>
              <w:left w:val="nil"/>
              <w:bottom w:val="single" w:sz="8" w:space="0" w:color="000000"/>
              <w:right w:val="nil"/>
            </w:tcBorders>
            <w:tcMar>
              <w:top w:w="0" w:type="dxa"/>
              <w:left w:w="100" w:type="dxa"/>
              <w:bottom w:w="0" w:type="dxa"/>
              <w:right w:w="100" w:type="dxa"/>
            </w:tcMar>
          </w:tcPr>
          <w:p w14:paraId="28C91D4F" w14:textId="77777777" w:rsidR="005A6581" w:rsidRDefault="0064432F">
            <w:pPr>
              <w:spacing w:before="240" w:line="276" w:lineRule="auto"/>
              <w:jc w:val="center"/>
              <w:rPr>
                <w:sz w:val="22"/>
                <w:szCs w:val="22"/>
              </w:rPr>
            </w:pPr>
            <w:r>
              <w:rPr>
                <w:sz w:val="22"/>
                <w:szCs w:val="22"/>
              </w:rPr>
              <w:t>68%</w:t>
            </w:r>
          </w:p>
        </w:tc>
        <w:tc>
          <w:tcPr>
            <w:tcW w:w="390" w:type="dxa"/>
            <w:tcBorders>
              <w:top w:val="nil"/>
              <w:left w:val="nil"/>
              <w:bottom w:val="single" w:sz="8" w:space="0" w:color="000000"/>
              <w:right w:val="nil"/>
            </w:tcBorders>
            <w:tcMar>
              <w:top w:w="0" w:type="dxa"/>
              <w:left w:w="100" w:type="dxa"/>
              <w:bottom w:w="0" w:type="dxa"/>
              <w:right w:w="100" w:type="dxa"/>
            </w:tcMar>
          </w:tcPr>
          <w:p w14:paraId="46763125" w14:textId="77777777" w:rsidR="005A6581" w:rsidRDefault="0064432F">
            <w:pPr>
              <w:spacing w:before="240" w:line="276" w:lineRule="auto"/>
              <w:jc w:val="center"/>
              <w:rPr>
                <w:sz w:val="22"/>
                <w:szCs w:val="22"/>
              </w:rPr>
            </w:pPr>
            <w:r>
              <w:rPr>
                <w:sz w:val="22"/>
                <w:szCs w:val="22"/>
              </w:rPr>
              <w:t>9</w:t>
            </w:r>
          </w:p>
        </w:tc>
        <w:tc>
          <w:tcPr>
            <w:tcW w:w="750" w:type="dxa"/>
            <w:tcBorders>
              <w:top w:val="nil"/>
              <w:left w:val="nil"/>
              <w:bottom w:val="single" w:sz="8" w:space="0" w:color="000000"/>
              <w:right w:val="nil"/>
            </w:tcBorders>
            <w:tcMar>
              <w:top w:w="0" w:type="dxa"/>
              <w:left w:w="100" w:type="dxa"/>
              <w:bottom w:w="0" w:type="dxa"/>
              <w:right w:w="100" w:type="dxa"/>
            </w:tcMar>
          </w:tcPr>
          <w:p w14:paraId="3F48434A" w14:textId="77777777" w:rsidR="005A6581" w:rsidRDefault="0064432F">
            <w:pPr>
              <w:spacing w:before="240" w:line="276" w:lineRule="auto"/>
              <w:jc w:val="center"/>
              <w:rPr>
                <w:sz w:val="22"/>
                <w:szCs w:val="22"/>
              </w:rPr>
            </w:pPr>
            <w:r>
              <w:rPr>
                <w:sz w:val="22"/>
                <w:szCs w:val="22"/>
              </w:rPr>
              <w:t>32%</w:t>
            </w:r>
          </w:p>
        </w:tc>
        <w:tc>
          <w:tcPr>
            <w:tcW w:w="495" w:type="dxa"/>
            <w:tcBorders>
              <w:top w:val="nil"/>
              <w:left w:val="nil"/>
              <w:bottom w:val="single" w:sz="8" w:space="0" w:color="000000"/>
              <w:right w:val="nil"/>
            </w:tcBorders>
            <w:tcMar>
              <w:top w:w="0" w:type="dxa"/>
              <w:left w:w="100" w:type="dxa"/>
              <w:bottom w:w="0" w:type="dxa"/>
              <w:right w:w="100" w:type="dxa"/>
            </w:tcMar>
          </w:tcPr>
          <w:p w14:paraId="524A4878" w14:textId="77777777" w:rsidR="005A6581" w:rsidRDefault="0064432F">
            <w:pPr>
              <w:spacing w:before="240" w:line="276" w:lineRule="auto"/>
              <w:jc w:val="center"/>
              <w:rPr>
                <w:sz w:val="22"/>
                <w:szCs w:val="22"/>
              </w:rPr>
            </w:pPr>
            <w:r>
              <w:rPr>
                <w:sz w:val="22"/>
                <w:szCs w:val="22"/>
              </w:rPr>
              <w:t>3</w:t>
            </w:r>
          </w:p>
        </w:tc>
        <w:tc>
          <w:tcPr>
            <w:tcW w:w="900" w:type="dxa"/>
            <w:tcBorders>
              <w:top w:val="nil"/>
              <w:left w:val="nil"/>
              <w:bottom w:val="single" w:sz="8" w:space="0" w:color="000000"/>
              <w:right w:val="nil"/>
            </w:tcBorders>
            <w:tcMar>
              <w:top w:w="0" w:type="dxa"/>
              <w:left w:w="100" w:type="dxa"/>
              <w:bottom w:w="0" w:type="dxa"/>
              <w:right w:w="100" w:type="dxa"/>
            </w:tcMar>
          </w:tcPr>
          <w:p w14:paraId="06CB1497" w14:textId="77777777" w:rsidR="005A6581" w:rsidRDefault="0064432F">
            <w:pPr>
              <w:spacing w:before="240" w:line="276" w:lineRule="auto"/>
              <w:jc w:val="center"/>
              <w:rPr>
                <w:sz w:val="22"/>
                <w:szCs w:val="22"/>
              </w:rPr>
            </w:pPr>
            <w:r>
              <w:rPr>
                <w:sz w:val="22"/>
                <w:szCs w:val="22"/>
              </w:rPr>
              <w:t>16%</w:t>
            </w:r>
          </w:p>
        </w:tc>
        <w:tc>
          <w:tcPr>
            <w:tcW w:w="540" w:type="dxa"/>
            <w:tcBorders>
              <w:top w:val="nil"/>
              <w:left w:val="nil"/>
              <w:bottom w:val="single" w:sz="8" w:space="0" w:color="000000"/>
              <w:right w:val="nil"/>
            </w:tcBorders>
            <w:tcMar>
              <w:top w:w="0" w:type="dxa"/>
              <w:left w:w="100" w:type="dxa"/>
              <w:bottom w:w="0" w:type="dxa"/>
              <w:right w:w="100" w:type="dxa"/>
            </w:tcMar>
          </w:tcPr>
          <w:p w14:paraId="37E19509" w14:textId="77777777" w:rsidR="005A6581" w:rsidRDefault="0064432F">
            <w:pPr>
              <w:spacing w:before="240" w:line="276" w:lineRule="auto"/>
              <w:jc w:val="center"/>
              <w:rPr>
                <w:sz w:val="22"/>
                <w:szCs w:val="22"/>
              </w:rPr>
            </w:pPr>
            <w:r>
              <w:rPr>
                <w:sz w:val="22"/>
                <w:szCs w:val="22"/>
              </w:rPr>
              <w:t>11</w:t>
            </w:r>
          </w:p>
        </w:tc>
        <w:tc>
          <w:tcPr>
            <w:tcW w:w="645" w:type="dxa"/>
            <w:tcBorders>
              <w:top w:val="nil"/>
              <w:left w:val="nil"/>
              <w:bottom w:val="single" w:sz="8" w:space="0" w:color="000000"/>
              <w:right w:val="nil"/>
            </w:tcBorders>
            <w:tcMar>
              <w:top w:w="0" w:type="dxa"/>
              <w:left w:w="100" w:type="dxa"/>
              <w:bottom w:w="0" w:type="dxa"/>
              <w:right w:w="100" w:type="dxa"/>
            </w:tcMar>
          </w:tcPr>
          <w:p w14:paraId="641F4C3D" w14:textId="77777777" w:rsidR="005A6581" w:rsidRDefault="0064432F">
            <w:pPr>
              <w:spacing w:before="240" w:line="276" w:lineRule="auto"/>
              <w:jc w:val="center"/>
              <w:rPr>
                <w:sz w:val="22"/>
                <w:szCs w:val="22"/>
              </w:rPr>
            </w:pPr>
            <w:r>
              <w:rPr>
                <w:sz w:val="22"/>
                <w:szCs w:val="22"/>
              </w:rPr>
              <w:t>58%</w:t>
            </w:r>
          </w:p>
        </w:tc>
        <w:tc>
          <w:tcPr>
            <w:tcW w:w="330" w:type="dxa"/>
            <w:tcBorders>
              <w:top w:val="nil"/>
              <w:left w:val="nil"/>
              <w:bottom w:val="single" w:sz="8" w:space="0" w:color="000000"/>
              <w:right w:val="nil"/>
            </w:tcBorders>
            <w:tcMar>
              <w:top w:w="0" w:type="dxa"/>
              <w:left w:w="100" w:type="dxa"/>
              <w:bottom w:w="0" w:type="dxa"/>
              <w:right w:w="100" w:type="dxa"/>
            </w:tcMar>
          </w:tcPr>
          <w:p w14:paraId="1FBCB56D" w14:textId="77777777" w:rsidR="005A6581" w:rsidRDefault="0064432F">
            <w:pPr>
              <w:spacing w:before="240" w:line="276" w:lineRule="auto"/>
              <w:jc w:val="center"/>
              <w:rPr>
                <w:sz w:val="22"/>
                <w:szCs w:val="22"/>
              </w:rPr>
            </w:pPr>
            <w:r>
              <w:rPr>
                <w:sz w:val="22"/>
                <w:szCs w:val="22"/>
              </w:rPr>
              <w:t>6</w:t>
            </w:r>
          </w:p>
        </w:tc>
        <w:tc>
          <w:tcPr>
            <w:tcW w:w="870" w:type="dxa"/>
            <w:tcBorders>
              <w:top w:val="nil"/>
              <w:left w:val="nil"/>
              <w:bottom w:val="single" w:sz="8" w:space="0" w:color="000000"/>
              <w:right w:val="nil"/>
            </w:tcBorders>
            <w:tcMar>
              <w:top w:w="0" w:type="dxa"/>
              <w:left w:w="100" w:type="dxa"/>
              <w:bottom w:w="0" w:type="dxa"/>
              <w:right w:w="100" w:type="dxa"/>
            </w:tcMar>
          </w:tcPr>
          <w:p w14:paraId="2588D457" w14:textId="77777777" w:rsidR="005A6581" w:rsidRDefault="0064432F">
            <w:pPr>
              <w:spacing w:before="240" w:line="276" w:lineRule="auto"/>
              <w:jc w:val="center"/>
              <w:rPr>
                <w:sz w:val="22"/>
                <w:szCs w:val="22"/>
              </w:rPr>
            </w:pPr>
            <w:r>
              <w:rPr>
                <w:sz w:val="22"/>
                <w:szCs w:val="22"/>
              </w:rPr>
              <w:t>32%</w:t>
            </w:r>
          </w:p>
        </w:tc>
        <w:tc>
          <w:tcPr>
            <w:tcW w:w="450" w:type="dxa"/>
            <w:tcBorders>
              <w:top w:val="nil"/>
              <w:left w:val="nil"/>
              <w:bottom w:val="single" w:sz="8" w:space="0" w:color="000000"/>
              <w:right w:val="nil"/>
            </w:tcBorders>
            <w:tcMar>
              <w:top w:w="0" w:type="dxa"/>
              <w:left w:w="100" w:type="dxa"/>
              <w:bottom w:w="0" w:type="dxa"/>
              <w:right w:w="100" w:type="dxa"/>
            </w:tcMar>
          </w:tcPr>
          <w:p w14:paraId="0D46DADC" w14:textId="77777777" w:rsidR="005A6581" w:rsidRDefault="0064432F">
            <w:pPr>
              <w:spacing w:before="240" w:line="276" w:lineRule="auto"/>
              <w:jc w:val="center"/>
              <w:rPr>
                <w:sz w:val="22"/>
                <w:szCs w:val="22"/>
              </w:rPr>
            </w:pPr>
            <w:r>
              <w:rPr>
                <w:sz w:val="22"/>
                <w:szCs w:val="22"/>
              </w:rPr>
              <w:t>10</w:t>
            </w:r>
          </w:p>
        </w:tc>
        <w:tc>
          <w:tcPr>
            <w:tcW w:w="840" w:type="dxa"/>
            <w:tcBorders>
              <w:top w:val="nil"/>
              <w:left w:val="nil"/>
              <w:bottom w:val="single" w:sz="8" w:space="0" w:color="000000"/>
              <w:right w:val="nil"/>
            </w:tcBorders>
            <w:tcMar>
              <w:top w:w="0" w:type="dxa"/>
              <w:left w:w="100" w:type="dxa"/>
              <w:bottom w:w="0" w:type="dxa"/>
              <w:right w:w="100" w:type="dxa"/>
            </w:tcMar>
          </w:tcPr>
          <w:p w14:paraId="7246E7CF" w14:textId="77777777" w:rsidR="005A6581" w:rsidRDefault="0064432F">
            <w:pPr>
              <w:spacing w:before="240" w:line="276" w:lineRule="auto"/>
              <w:jc w:val="center"/>
              <w:rPr>
                <w:sz w:val="22"/>
                <w:szCs w:val="22"/>
              </w:rPr>
            </w:pPr>
            <w:r>
              <w:rPr>
                <w:sz w:val="22"/>
                <w:szCs w:val="22"/>
              </w:rPr>
              <w:t>53%</w:t>
            </w:r>
          </w:p>
        </w:tc>
        <w:tc>
          <w:tcPr>
            <w:tcW w:w="240" w:type="dxa"/>
            <w:tcBorders>
              <w:top w:val="nil"/>
              <w:left w:val="nil"/>
              <w:bottom w:val="single" w:sz="8" w:space="0" w:color="000000"/>
              <w:right w:val="nil"/>
            </w:tcBorders>
            <w:tcMar>
              <w:top w:w="0" w:type="dxa"/>
              <w:left w:w="100" w:type="dxa"/>
              <w:bottom w:w="0" w:type="dxa"/>
              <w:right w:w="100" w:type="dxa"/>
            </w:tcMar>
          </w:tcPr>
          <w:p w14:paraId="2537F1C1" w14:textId="77777777" w:rsidR="005A6581" w:rsidRDefault="0064432F">
            <w:pPr>
              <w:spacing w:before="240" w:line="276" w:lineRule="auto"/>
              <w:jc w:val="center"/>
              <w:rPr>
                <w:sz w:val="22"/>
                <w:szCs w:val="22"/>
              </w:rPr>
            </w:pPr>
            <w:r>
              <w:rPr>
                <w:sz w:val="22"/>
                <w:szCs w:val="22"/>
              </w:rPr>
              <w:t>1</w:t>
            </w:r>
          </w:p>
        </w:tc>
        <w:tc>
          <w:tcPr>
            <w:tcW w:w="870" w:type="dxa"/>
            <w:tcBorders>
              <w:top w:val="nil"/>
              <w:left w:val="nil"/>
              <w:bottom w:val="single" w:sz="8" w:space="0" w:color="000000"/>
              <w:right w:val="nil"/>
            </w:tcBorders>
            <w:tcMar>
              <w:top w:w="0" w:type="dxa"/>
              <w:left w:w="100" w:type="dxa"/>
              <w:bottom w:w="0" w:type="dxa"/>
              <w:right w:w="100" w:type="dxa"/>
            </w:tcMar>
          </w:tcPr>
          <w:p w14:paraId="6E422ED6" w14:textId="77777777" w:rsidR="005A6581" w:rsidRDefault="0064432F">
            <w:pPr>
              <w:spacing w:before="240" w:line="276" w:lineRule="auto"/>
              <w:jc w:val="center"/>
              <w:rPr>
                <w:sz w:val="22"/>
                <w:szCs w:val="22"/>
              </w:rPr>
            </w:pPr>
            <w:r>
              <w:rPr>
                <w:sz w:val="22"/>
                <w:szCs w:val="22"/>
              </w:rPr>
              <w:t>5%</w:t>
            </w:r>
          </w:p>
        </w:tc>
      </w:tr>
    </w:tbl>
    <w:p w14:paraId="669E7326" w14:textId="38A52A52" w:rsidR="005A6581" w:rsidRDefault="0064432F">
      <w:pPr>
        <w:tabs>
          <w:tab w:val="left" w:pos="709"/>
          <w:tab w:val="left" w:pos="1134"/>
        </w:tabs>
        <w:jc w:val="both"/>
      </w:pPr>
      <w:r>
        <w:rPr>
          <w:b/>
          <w:sz w:val="18"/>
          <w:szCs w:val="18"/>
        </w:rPr>
        <w:t>Source:</w:t>
      </w:r>
      <w:r>
        <w:rPr>
          <w:sz w:val="18"/>
          <w:szCs w:val="18"/>
        </w:rPr>
        <w:t xml:space="preserve"> </w:t>
      </w:r>
      <w:r w:rsidR="00627D4A">
        <w:rPr>
          <w:sz w:val="18"/>
          <w:szCs w:val="18"/>
        </w:rPr>
        <w:t>The a</w:t>
      </w:r>
      <w:r>
        <w:rPr>
          <w:sz w:val="18"/>
          <w:szCs w:val="18"/>
        </w:rPr>
        <w:t>uthors</w:t>
      </w:r>
    </w:p>
    <w:p w14:paraId="6A077ADC" w14:textId="77777777" w:rsidR="000E09A9" w:rsidRPr="00627D4A" w:rsidRDefault="000E09A9" w:rsidP="000E09A9">
      <w:pPr>
        <w:spacing w:before="280"/>
        <w:ind w:firstLine="720"/>
        <w:jc w:val="both"/>
      </w:pPr>
      <w:r>
        <w:t xml:space="preserve">With regard to the themes </w:t>
      </w:r>
      <w:r w:rsidRPr="00627D4A">
        <w:t xml:space="preserve">of the headlines featuring female athletes and women’s sport (Table 2), it is evident that, overall, they are not given substantial editorial space. Of the total 28 headlines, 21% featured men as the central figures (e.g. </w:t>
      </w:r>
      <w:r w:rsidRPr="00627D4A">
        <w:rPr>
          <w:i/>
        </w:rPr>
        <w:t>"</w:t>
      </w:r>
      <w:proofErr w:type="spellStart"/>
      <w:r w:rsidRPr="00627D4A">
        <w:rPr>
          <w:i/>
        </w:rPr>
        <w:t>Premios</w:t>
      </w:r>
      <w:proofErr w:type="spellEnd"/>
      <w:r w:rsidRPr="00627D4A">
        <w:rPr>
          <w:i/>
        </w:rPr>
        <w:t xml:space="preserve"> Laureus – </w:t>
      </w:r>
      <w:proofErr w:type="spellStart"/>
      <w:r w:rsidRPr="00627D4A">
        <w:rPr>
          <w:i/>
        </w:rPr>
        <w:t>nueve</w:t>
      </w:r>
      <w:proofErr w:type="spellEnd"/>
      <w:r w:rsidRPr="00627D4A">
        <w:rPr>
          <w:i/>
        </w:rPr>
        <w:t xml:space="preserve"> </w:t>
      </w:r>
      <w:proofErr w:type="spellStart"/>
      <w:r w:rsidRPr="00627D4A">
        <w:rPr>
          <w:i/>
        </w:rPr>
        <w:t>candidaturas</w:t>
      </w:r>
      <w:proofErr w:type="spellEnd"/>
      <w:r w:rsidRPr="00627D4A">
        <w:rPr>
          <w:i/>
        </w:rPr>
        <w:t xml:space="preserve"> </w:t>
      </w:r>
      <w:proofErr w:type="spellStart"/>
      <w:r w:rsidRPr="00627D4A">
        <w:rPr>
          <w:i/>
        </w:rPr>
        <w:t>españolas</w:t>
      </w:r>
      <w:proofErr w:type="spellEnd"/>
      <w:r w:rsidRPr="00627D4A">
        <w:rPr>
          <w:i/>
        </w:rPr>
        <w:t>: Alcaraz, Aitana, R. Madrid, Lamine..."</w:t>
      </w:r>
      <w:r w:rsidRPr="00627D4A">
        <w:t xml:space="preserve"> ["Laureus Awards – nine Spanish nominations: Alcaraz, Aitana, Real Madrid, Lamine..."], </w:t>
      </w:r>
      <w:proofErr w:type="spellStart"/>
      <w:r w:rsidRPr="00627D4A">
        <w:rPr>
          <w:i/>
        </w:rPr>
        <w:t>Diario</w:t>
      </w:r>
      <w:proofErr w:type="spellEnd"/>
      <w:r w:rsidRPr="00627D4A">
        <w:rPr>
          <w:i/>
        </w:rPr>
        <w:t xml:space="preserve"> AS</w:t>
      </w:r>
      <w:r w:rsidRPr="00627D4A">
        <w:t xml:space="preserve">, 4 March 2025). In 36% (n=10) of the main headlines analysed, the names of the female athletes were not mentioned, as seen in examples such as: </w:t>
      </w:r>
      <w:r w:rsidRPr="00627D4A">
        <w:rPr>
          <w:i/>
        </w:rPr>
        <w:t xml:space="preserve">"San Silvestre: </w:t>
      </w:r>
      <w:proofErr w:type="spellStart"/>
      <w:r w:rsidRPr="00627D4A">
        <w:rPr>
          <w:i/>
        </w:rPr>
        <w:t>noche</w:t>
      </w:r>
      <w:proofErr w:type="spellEnd"/>
      <w:r w:rsidRPr="00627D4A">
        <w:rPr>
          <w:i/>
        </w:rPr>
        <w:t xml:space="preserve"> </w:t>
      </w:r>
      <w:proofErr w:type="spellStart"/>
      <w:r w:rsidRPr="00627D4A">
        <w:rPr>
          <w:i/>
        </w:rPr>
        <w:t>mágica</w:t>
      </w:r>
      <w:proofErr w:type="spellEnd"/>
      <w:r w:rsidRPr="00627D4A">
        <w:rPr>
          <w:i/>
        </w:rPr>
        <w:t xml:space="preserve"> para </w:t>
      </w:r>
      <w:proofErr w:type="spellStart"/>
      <w:r w:rsidRPr="00627D4A">
        <w:rPr>
          <w:i/>
        </w:rPr>
        <w:t>los</w:t>
      </w:r>
      <w:proofErr w:type="spellEnd"/>
      <w:r w:rsidRPr="00627D4A">
        <w:rPr>
          <w:i/>
        </w:rPr>
        <w:t xml:space="preserve"> </w:t>
      </w:r>
      <w:proofErr w:type="spellStart"/>
      <w:r w:rsidRPr="00627D4A">
        <w:rPr>
          <w:i/>
        </w:rPr>
        <w:t>récords</w:t>
      </w:r>
      <w:proofErr w:type="spellEnd"/>
      <w:r w:rsidRPr="00627D4A">
        <w:rPr>
          <w:i/>
        </w:rPr>
        <w:t>"</w:t>
      </w:r>
      <w:r w:rsidRPr="00627D4A">
        <w:t xml:space="preserve"> ["San Silvestre: a magical night for records"] (</w:t>
      </w:r>
      <w:r w:rsidRPr="00627D4A">
        <w:rPr>
          <w:i/>
        </w:rPr>
        <w:t>Marca</w:t>
      </w:r>
      <w:r w:rsidRPr="00627D4A">
        <w:t xml:space="preserve">, 2 January 2025) or </w:t>
      </w:r>
      <w:r w:rsidRPr="00627D4A">
        <w:rPr>
          <w:i/>
        </w:rPr>
        <w:t>"</w:t>
      </w:r>
      <w:proofErr w:type="spellStart"/>
      <w:r w:rsidRPr="00627D4A">
        <w:rPr>
          <w:i/>
        </w:rPr>
        <w:t>Otro</w:t>
      </w:r>
      <w:proofErr w:type="spellEnd"/>
      <w:r w:rsidRPr="00627D4A">
        <w:rPr>
          <w:i/>
        </w:rPr>
        <w:t xml:space="preserve"> </w:t>
      </w:r>
      <w:proofErr w:type="spellStart"/>
      <w:r w:rsidRPr="00627D4A">
        <w:rPr>
          <w:i/>
        </w:rPr>
        <w:t>salto</w:t>
      </w:r>
      <w:proofErr w:type="spellEnd"/>
      <w:r w:rsidRPr="00627D4A">
        <w:rPr>
          <w:i/>
        </w:rPr>
        <w:t xml:space="preserve"> de </w:t>
      </w:r>
      <w:proofErr w:type="spellStart"/>
      <w:r w:rsidRPr="00627D4A">
        <w:rPr>
          <w:i/>
        </w:rPr>
        <w:t>bandera</w:t>
      </w:r>
      <w:proofErr w:type="spellEnd"/>
      <w:r w:rsidRPr="00627D4A">
        <w:rPr>
          <w:i/>
        </w:rPr>
        <w:t>"</w:t>
      </w:r>
      <w:r w:rsidRPr="00627D4A">
        <w:t xml:space="preserve"> ["Another monumental jump"] (</w:t>
      </w:r>
      <w:r w:rsidRPr="00627D4A">
        <w:rPr>
          <w:i/>
        </w:rPr>
        <w:t>Marca</w:t>
      </w:r>
      <w:r w:rsidRPr="00627D4A">
        <w:t xml:space="preserve">, 8 March 2025). In some cases, such as the latter, the athlete’s name appeared in the subheading instead (e.g. </w:t>
      </w:r>
      <w:r w:rsidRPr="00627D4A">
        <w:rPr>
          <w:i/>
        </w:rPr>
        <w:t xml:space="preserve">"Ana </w:t>
      </w:r>
      <w:proofErr w:type="spellStart"/>
      <w:r w:rsidRPr="00627D4A">
        <w:rPr>
          <w:i/>
        </w:rPr>
        <w:t>Peleteiro</w:t>
      </w:r>
      <w:proofErr w:type="spellEnd"/>
      <w:r w:rsidRPr="00627D4A">
        <w:rPr>
          <w:i/>
        </w:rPr>
        <w:t xml:space="preserve">, </w:t>
      </w:r>
      <w:proofErr w:type="spellStart"/>
      <w:r w:rsidRPr="00627D4A">
        <w:rPr>
          <w:i/>
        </w:rPr>
        <w:t>segundo</w:t>
      </w:r>
      <w:proofErr w:type="spellEnd"/>
      <w:r w:rsidRPr="00627D4A">
        <w:rPr>
          <w:i/>
        </w:rPr>
        <w:t xml:space="preserve"> </w:t>
      </w:r>
      <w:proofErr w:type="spellStart"/>
      <w:r w:rsidRPr="00627D4A">
        <w:rPr>
          <w:i/>
        </w:rPr>
        <w:t>oro</w:t>
      </w:r>
      <w:proofErr w:type="spellEnd"/>
      <w:r w:rsidRPr="00627D4A">
        <w:rPr>
          <w:i/>
        </w:rPr>
        <w:t xml:space="preserve"> </w:t>
      </w:r>
      <w:proofErr w:type="spellStart"/>
      <w:r w:rsidRPr="00627D4A">
        <w:rPr>
          <w:i/>
        </w:rPr>
        <w:t>europeo</w:t>
      </w:r>
      <w:proofErr w:type="spellEnd"/>
      <w:r w:rsidRPr="00627D4A">
        <w:rPr>
          <w:i/>
        </w:rPr>
        <w:t xml:space="preserve"> indoor"</w:t>
      </w:r>
      <w:r w:rsidRPr="00627D4A">
        <w:t xml:space="preserve"> ["Ana </w:t>
      </w:r>
      <w:proofErr w:type="spellStart"/>
      <w:r w:rsidRPr="00627D4A">
        <w:t>Peleteiro</w:t>
      </w:r>
      <w:proofErr w:type="spellEnd"/>
      <w:r w:rsidRPr="00627D4A">
        <w:t xml:space="preserve"> wins second European Indoor gold"]). Additionally, 21% (n=6) of the analysed headlines referred to events outside the sporting context, such as coverage of the sexual assault case involving the former president of the Spanish Football Federation, Luis Rubiales (e.g. </w:t>
      </w:r>
      <w:r w:rsidRPr="00627D4A">
        <w:rPr>
          <w:i/>
        </w:rPr>
        <w:t xml:space="preserve">"Caso Rubiales – la </w:t>
      </w:r>
      <w:proofErr w:type="spellStart"/>
      <w:r w:rsidRPr="00627D4A">
        <w:rPr>
          <w:i/>
        </w:rPr>
        <w:t>Fiscalía</w:t>
      </w:r>
      <w:proofErr w:type="spellEnd"/>
      <w:r w:rsidRPr="00627D4A">
        <w:rPr>
          <w:i/>
        </w:rPr>
        <w:t xml:space="preserve"> </w:t>
      </w:r>
      <w:proofErr w:type="spellStart"/>
      <w:r w:rsidRPr="00627D4A">
        <w:rPr>
          <w:i/>
        </w:rPr>
        <w:t>pide</w:t>
      </w:r>
      <w:proofErr w:type="spellEnd"/>
      <w:r w:rsidRPr="00627D4A">
        <w:rPr>
          <w:i/>
        </w:rPr>
        <w:t xml:space="preserve"> que se </w:t>
      </w:r>
      <w:proofErr w:type="spellStart"/>
      <w:r w:rsidRPr="00627D4A">
        <w:rPr>
          <w:i/>
        </w:rPr>
        <w:t>repita</w:t>
      </w:r>
      <w:proofErr w:type="spellEnd"/>
      <w:r w:rsidRPr="00627D4A">
        <w:rPr>
          <w:i/>
        </w:rPr>
        <w:t xml:space="preserve"> </w:t>
      </w:r>
      <w:proofErr w:type="spellStart"/>
      <w:r w:rsidRPr="00627D4A">
        <w:rPr>
          <w:i/>
        </w:rPr>
        <w:t>el</w:t>
      </w:r>
      <w:proofErr w:type="spellEnd"/>
      <w:r w:rsidRPr="00627D4A">
        <w:rPr>
          <w:i/>
        </w:rPr>
        <w:t xml:space="preserve"> </w:t>
      </w:r>
      <w:proofErr w:type="spellStart"/>
      <w:r w:rsidRPr="00627D4A">
        <w:rPr>
          <w:i/>
        </w:rPr>
        <w:t>juicio</w:t>
      </w:r>
      <w:proofErr w:type="spellEnd"/>
      <w:r w:rsidRPr="00627D4A">
        <w:rPr>
          <w:i/>
        </w:rPr>
        <w:t xml:space="preserve"> al </w:t>
      </w:r>
      <w:proofErr w:type="spellStart"/>
      <w:r w:rsidRPr="00627D4A">
        <w:rPr>
          <w:i/>
        </w:rPr>
        <w:t>expresidente</w:t>
      </w:r>
      <w:proofErr w:type="spellEnd"/>
      <w:r w:rsidRPr="00627D4A">
        <w:rPr>
          <w:i/>
        </w:rPr>
        <w:t xml:space="preserve"> de la </w:t>
      </w:r>
      <w:proofErr w:type="spellStart"/>
      <w:r w:rsidRPr="00627D4A">
        <w:rPr>
          <w:i/>
        </w:rPr>
        <w:t>Federación</w:t>
      </w:r>
      <w:proofErr w:type="spellEnd"/>
      <w:r w:rsidRPr="00627D4A">
        <w:rPr>
          <w:i/>
        </w:rPr>
        <w:t>"</w:t>
      </w:r>
      <w:r w:rsidRPr="00627D4A">
        <w:t xml:space="preserve"> ["Rubiales case – prosecutor requests a retrial for former Federation president"], </w:t>
      </w:r>
      <w:r w:rsidRPr="00627D4A">
        <w:rPr>
          <w:i/>
        </w:rPr>
        <w:t>Marca</w:t>
      </w:r>
      <w:r w:rsidRPr="00627D4A">
        <w:t xml:space="preserve">, 7 March 2025) or </w:t>
      </w:r>
      <w:r w:rsidRPr="00627D4A">
        <w:rPr>
          <w:i/>
        </w:rPr>
        <w:t xml:space="preserve">"El </w:t>
      </w:r>
      <w:proofErr w:type="spellStart"/>
      <w:r w:rsidRPr="00627D4A">
        <w:rPr>
          <w:i/>
        </w:rPr>
        <w:t>hermano</w:t>
      </w:r>
      <w:proofErr w:type="spellEnd"/>
      <w:r w:rsidRPr="00627D4A">
        <w:rPr>
          <w:i/>
        </w:rPr>
        <w:t xml:space="preserve"> de Jenni Hermoso, ante </w:t>
      </w:r>
      <w:proofErr w:type="spellStart"/>
      <w:r w:rsidRPr="00627D4A">
        <w:rPr>
          <w:i/>
        </w:rPr>
        <w:t>el</w:t>
      </w:r>
      <w:proofErr w:type="spellEnd"/>
      <w:r w:rsidRPr="00627D4A">
        <w:rPr>
          <w:i/>
        </w:rPr>
        <w:t xml:space="preserve"> </w:t>
      </w:r>
      <w:proofErr w:type="spellStart"/>
      <w:r w:rsidRPr="00627D4A">
        <w:rPr>
          <w:i/>
        </w:rPr>
        <w:t>juez</w:t>
      </w:r>
      <w:proofErr w:type="spellEnd"/>
      <w:r w:rsidRPr="00627D4A">
        <w:rPr>
          <w:i/>
        </w:rPr>
        <w:t xml:space="preserve">: 'Ella me </w:t>
      </w:r>
      <w:proofErr w:type="spellStart"/>
      <w:r w:rsidRPr="00627D4A">
        <w:rPr>
          <w:i/>
        </w:rPr>
        <w:t>dijo</w:t>
      </w:r>
      <w:proofErr w:type="spellEnd"/>
      <w:r w:rsidRPr="00627D4A">
        <w:rPr>
          <w:i/>
        </w:rPr>
        <w:t xml:space="preserve"> que </w:t>
      </w:r>
      <w:proofErr w:type="spellStart"/>
      <w:r w:rsidRPr="00627D4A">
        <w:rPr>
          <w:i/>
        </w:rPr>
        <w:t>el</w:t>
      </w:r>
      <w:proofErr w:type="spellEnd"/>
      <w:r w:rsidRPr="00627D4A">
        <w:rPr>
          <w:i/>
        </w:rPr>
        <w:t xml:space="preserve"> </w:t>
      </w:r>
      <w:proofErr w:type="spellStart"/>
      <w:r w:rsidRPr="00627D4A">
        <w:rPr>
          <w:i/>
        </w:rPr>
        <w:t>beso</w:t>
      </w:r>
      <w:proofErr w:type="spellEnd"/>
      <w:r w:rsidRPr="00627D4A">
        <w:rPr>
          <w:i/>
        </w:rPr>
        <w:t xml:space="preserve"> le </w:t>
      </w:r>
      <w:proofErr w:type="spellStart"/>
      <w:r w:rsidRPr="00627D4A">
        <w:rPr>
          <w:i/>
        </w:rPr>
        <w:t>había</w:t>
      </w:r>
      <w:proofErr w:type="spellEnd"/>
      <w:r w:rsidRPr="00627D4A">
        <w:rPr>
          <w:i/>
        </w:rPr>
        <w:t xml:space="preserve"> dado </w:t>
      </w:r>
      <w:proofErr w:type="spellStart"/>
      <w:r w:rsidRPr="00627D4A">
        <w:rPr>
          <w:i/>
        </w:rPr>
        <w:t>asco</w:t>
      </w:r>
      <w:proofErr w:type="spellEnd"/>
      <w:r w:rsidRPr="00627D4A">
        <w:rPr>
          <w:i/>
        </w:rPr>
        <w:t>'"</w:t>
      </w:r>
      <w:r w:rsidRPr="00627D4A">
        <w:t xml:space="preserve"> ["Jenni Hermoso’s brother appears before judge: ‘She told me the kiss made her feel sick’"], </w:t>
      </w:r>
      <w:proofErr w:type="spellStart"/>
      <w:r w:rsidRPr="00627D4A">
        <w:rPr>
          <w:i/>
        </w:rPr>
        <w:t>Diario</w:t>
      </w:r>
      <w:proofErr w:type="spellEnd"/>
      <w:r w:rsidRPr="00627D4A">
        <w:rPr>
          <w:i/>
        </w:rPr>
        <w:t xml:space="preserve"> AS</w:t>
      </w:r>
      <w:r w:rsidRPr="00627D4A">
        <w:t>, 6 February 2025).</w:t>
      </w:r>
    </w:p>
    <w:p w14:paraId="63AF4619" w14:textId="77777777" w:rsidR="00031612" w:rsidRPr="00627D4A" w:rsidRDefault="0064432F" w:rsidP="00031612">
      <w:pPr>
        <w:ind w:firstLine="720"/>
        <w:jc w:val="both"/>
      </w:pPr>
      <w:r w:rsidRPr="00627D4A">
        <w:lastRenderedPageBreak/>
        <w:t xml:space="preserve">In terms of editorial approach, a sensationalist perspective predominated in 61% (n=17) of the headlines, in which the media associated female athletes or women’s sport with values traditionally linked to femininity, such as stories of overcoming adversity, emotional drama, fantasy, family protection, infantilisation or motherhood. Some examples include: </w:t>
      </w:r>
      <w:r w:rsidRPr="00627D4A">
        <w:rPr>
          <w:i/>
        </w:rPr>
        <w:t xml:space="preserve">"Es de </w:t>
      </w:r>
      <w:proofErr w:type="spellStart"/>
      <w:r w:rsidRPr="00627D4A">
        <w:rPr>
          <w:i/>
        </w:rPr>
        <w:t>oro</w:t>
      </w:r>
      <w:proofErr w:type="spellEnd"/>
      <w:r w:rsidRPr="00627D4A">
        <w:rPr>
          <w:i/>
        </w:rPr>
        <w:t>"</w:t>
      </w:r>
      <w:r w:rsidRPr="00627D4A">
        <w:t xml:space="preserve"> </w:t>
      </w:r>
      <w:r w:rsidR="00031612" w:rsidRPr="00627D4A">
        <w:t>["She’s golden"] (</w:t>
      </w:r>
      <w:proofErr w:type="spellStart"/>
      <w:r w:rsidR="00031612" w:rsidRPr="00627D4A">
        <w:rPr>
          <w:i/>
        </w:rPr>
        <w:t>Diario</w:t>
      </w:r>
      <w:proofErr w:type="spellEnd"/>
      <w:r w:rsidR="00031612" w:rsidRPr="00627D4A">
        <w:rPr>
          <w:i/>
        </w:rPr>
        <w:t xml:space="preserve"> AS</w:t>
      </w:r>
      <w:r w:rsidR="00031612" w:rsidRPr="00627D4A">
        <w:t xml:space="preserve">, 8 March 2025), </w:t>
      </w:r>
      <w:r w:rsidR="00031612" w:rsidRPr="00627D4A">
        <w:rPr>
          <w:i/>
        </w:rPr>
        <w:t xml:space="preserve">"De la </w:t>
      </w:r>
      <w:proofErr w:type="spellStart"/>
      <w:r w:rsidR="00031612" w:rsidRPr="00627D4A">
        <w:rPr>
          <w:i/>
        </w:rPr>
        <w:t>maternidad</w:t>
      </w:r>
      <w:proofErr w:type="spellEnd"/>
      <w:r w:rsidR="00031612" w:rsidRPr="00627D4A">
        <w:rPr>
          <w:i/>
        </w:rPr>
        <w:t xml:space="preserve"> a la </w:t>
      </w:r>
      <w:proofErr w:type="spellStart"/>
      <w:r w:rsidR="00031612" w:rsidRPr="00627D4A">
        <w:rPr>
          <w:i/>
        </w:rPr>
        <w:t>eternidad</w:t>
      </w:r>
      <w:proofErr w:type="spellEnd"/>
      <w:r w:rsidR="00031612" w:rsidRPr="00627D4A">
        <w:rPr>
          <w:i/>
        </w:rPr>
        <w:t>"</w:t>
      </w:r>
      <w:r w:rsidR="00031612" w:rsidRPr="00627D4A">
        <w:t xml:space="preserve"> ["From motherhood to eternity"] (</w:t>
      </w:r>
      <w:r w:rsidR="00031612" w:rsidRPr="00627D4A">
        <w:rPr>
          <w:i/>
        </w:rPr>
        <w:t>AS</w:t>
      </w:r>
      <w:r w:rsidR="00031612" w:rsidRPr="00627D4A">
        <w:t xml:space="preserve">, 8 March 2025), and </w:t>
      </w:r>
      <w:r w:rsidR="00031612" w:rsidRPr="00627D4A">
        <w:rPr>
          <w:i/>
        </w:rPr>
        <w:t xml:space="preserve">"Jenni </w:t>
      </w:r>
      <w:proofErr w:type="spellStart"/>
      <w:r w:rsidR="00031612" w:rsidRPr="00627D4A">
        <w:rPr>
          <w:i/>
        </w:rPr>
        <w:t>estaba</w:t>
      </w:r>
      <w:proofErr w:type="spellEnd"/>
      <w:r w:rsidR="00031612" w:rsidRPr="00627D4A">
        <w:rPr>
          <w:i/>
        </w:rPr>
        <w:t xml:space="preserve"> </w:t>
      </w:r>
      <w:proofErr w:type="spellStart"/>
      <w:r w:rsidR="00031612" w:rsidRPr="00627D4A">
        <w:rPr>
          <w:i/>
        </w:rPr>
        <w:t>muy</w:t>
      </w:r>
      <w:proofErr w:type="spellEnd"/>
      <w:r w:rsidR="00031612" w:rsidRPr="00627D4A">
        <w:rPr>
          <w:i/>
        </w:rPr>
        <w:t xml:space="preserve"> </w:t>
      </w:r>
      <w:proofErr w:type="spellStart"/>
      <w:r w:rsidR="00031612" w:rsidRPr="00627D4A">
        <w:rPr>
          <w:i/>
        </w:rPr>
        <w:t>agobiada</w:t>
      </w:r>
      <w:proofErr w:type="spellEnd"/>
      <w:r w:rsidR="00031612" w:rsidRPr="00627D4A">
        <w:rPr>
          <w:i/>
        </w:rPr>
        <w:t xml:space="preserve">" – Alexia, Paredes y Codina </w:t>
      </w:r>
      <w:proofErr w:type="spellStart"/>
      <w:r w:rsidR="00031612" w:rsidRPr="00627D4A">
        <w:rPr>
          <w:i/>
        </w:rPr>
        <w:t>declaran</w:t>
      </w:r>
      <w:proofErr w:type="spellEnd"/>
      <w:r w:rsidR="00031612" w:rsidRPr="00627D4A">
        <w:rPr>
          <w:i/>
        </w:rPr>
        <w:t xml:space="preserve"> </w:t>
      </w:r>
      <w:proofErr w:type="spellStart"/>
      <w:r w:rsidR="00031612" w:rsidRPr="00627D4A">
        <w:rPr>
          <w:i/>
        </w:rPr>
        <w:t>en</w:t>
      </w:r>
      <w:proofErr w:type="spellEnd"/>
      <w:r w:rsidR="00031612" w:rsidRPr="00627D4A">
        <w:rPr>
          <w:i/>
        </w:rPr>
        <w:t xml:space="preserve"> </w:t>
      </w:r>
      <w:proofErr w:type="spellStart"/>
      <w:r w:rsidR="00031612" w:rsidRPr="00627D4A">
        <w:rPr>
          <w:i/>
        </w:rPr>
        <w:t>el</w:t>
      </w:r>
      <w:proofErr w:type="spellEnd"/>
      <w:r w:rsidR="00031612" w:rsidRPr="00627D4A">
        <w:rPr>
          <w:i/>
        </w:rPr>
        <w:t xml:space="preserve"> </w:t>
      </w:r>
      <w:proofErr w:type="spellStart"/>
      <w:r w:rsidR="00031612" w:rsidRPr="00627D4A">
        <w:rPr>
          <w:i/>
        </w:rPr>
        <w:t>cuarto</w:t>
      </w:r>
      <w:proofErr w:type="spellEnd"/>
      <w:r w:rsidR="00031612" w:rsidRPr="00627D4A">
        <w:rPr>
          <w:i/>
        </w:rPr>
        <w:t xml:space="preserve"> día de audiencia</w:t>
      </w:r>
      <w:r w:rsidR="00031612" w:rsidRPr="00627D4A">
        <w:t xml:space="preserve"> ["Jenni was feeling very overwhelmed" – Alexia, Paredes and Codina testify on day four of the hearing] (</w:t>
      </w:r>
      <w:proofErr w:type="spellStart"/>
      <w:r w:rsidR="00031612" w:rsidRPr="00627D4A">
        <w:rPr>
          <w:i/>
        </w:rPr>
        <w:t>Diario</w:t>
      </w:r>
      <w:proofErr w:type="spellEnd"/>
      <w:r w:rsidR="00031612" w:rsidRPr="00627D4A">
        <w:rPr>
          <w:i/>
        </w:rPr>
        <w:t xml:space="preserve"> AS</w:t>
      </w:r>
      <w:r w:rsidR="00031612" w:rsidRPr="00627D4A">
        <w:t xml:space="preserve">, 7 February 2025). Headlines with an informative approach appeared in 39% (n=11) of the cases, with examples such as: </w:t>
      </w:r>
      <w:r w:rsidR="00031612" w:rsidRPr="00627D4A">
        <w:rPr>
          <w:i/>
        </w:rPr>
        <w:t xml:space="preserve">"Paula Sevilla, </w:t>
      </w:r>
      <w:proofErr w:type="spellStart"/>
      <w:r w:rsidR="00031612" w:rsidRPr="00627D4A">
        <w:rPr>
          <w:i/>
        </w:rPr>
        <w:t>bronce</w:t>
      </w:r>
      <w:proofErr w:type="spellEnd"/>
      <w:r w:rsidR="00031612" w:rsidRPr="00627D4A">
        <w:rPr>
          <w:i/>
        </w:rPr>
        <w:t xml:space="preserve"> </w:t>
      </w:r>
      <w:proofErr w:type="spellStart"/>
      <w:r w:rsidR="00031612" w:rsidRPr="00627D4A">
        <w:rPr>
          <w:i/>
        </w:rPr>
        <w:t>en</w:t>
      </w:r>
      <w:proofErr w:type="spellEnd"/>
      <w:r w:rsidR="00031612" w:rsidRPr="00627D4A">
        <w:rPr>
          <w:i/>
        </w:rPr>
        <w:t xml:space="preserve"> 400"</w:t>
      </w:r>
      <w:r w:rsidR="00031612" w:rsidRPr="00627D4A">
        <w:t xml:space="preserve"> ["Paula Sevilla wins bronze in 400m"] (</w:t>
      </w:r>
      <w:proofErr w:type="spellStart"/>
      <w:r w:rsidR="00031612" w:rsidRPr="00627D4A">
        <w:rPr>
          <w:i/>
        </w:rPr>
        <w:t>Diario</w:t>
      </w:r>
      <w:proofErr w:type="spellEnd"/>
      <w:r w:rsidR="00031612" w:rsidRPr="00627D4A">
        <w:rPr>
          <w:i/>
        </w:rPr>
        <w:t xml:space="preserve"> AS</w:t>
      </w:r>
      <w:r w:rsidR="00031612" w:rsidRPr="00627D4A">
        <w:t xml:space="preserve">, 9 March 2025) or </w:t>
      </w:r>
      <w:r w:rsidR="00031612" w:rsidRPr="00627D4A">
        <w:rPr>
          <w:i/>
        </w:rPr>
        <w:t xml:space="preserve">"Copa de la Reina. </w:t>
      </w:r>
      <w:proofErr w:type="spellStart"/>
      <w:r w:rsidR="00031612" w:rsidRPr="00627D4A">
        <w:rPr>
          <w:i/>
        </w:rPr>
        <w:t>Semifinales</w:t>
      </w:r>
      <w:proofErr w:type="spellEnd"/>
      <w:r w:rsidR="00031612" w:rsidRPr="00627D4A">
        <w:rPr>
          <w:i/>
        </w:rPr>
        <w:t>"</w:t>
      </w:r>
      <w:r w:rsidR="00031612" w:rsidRPr="00627D4A">
        <w:t xml:space="preserve"> ["Queen’s Cup – semi-finals"] (</w:t>
      </w:r>
      <w:r w:rsidR="00031612" w:rsidRPr="00627D4A">
        <w:rPr>
          <w:i/>
        </w:rPr>
        <w:t>Marca</w:t>
      </w:r>
      <w:r w:rsidR="00031612" w:rsidRPr="00627D4A">
        <w:t>, 6 March 2025).</w:t>
      </w:r>
    </w:p>
    <w:p w14:paraId="194261E2" w14:textId="562114B5" w:rsidR="005A6581" w:rsidRPr="00627D4A" w:rsidRDefault="0064432F">
      <w:pPr>
        <w:ind w:firstLine="720"/>
        <w:jc w:val="both"/>
      </w:pPr>
      <w:r w:rsidRPr="00627D4A">
        <w:t>It is also worth noting a slight increase in the number of headlines featuring female athletes or women’s sports, primarily due to two factors. One was the International Women’s Day, which led to as many as four front-page headlines focused on women (</w:t>
      </w:r>
      <w:r w:rsidRPr="00627D4A">
        <w:rPr>
          <w:i/>
        </w:rPr>
        <w:t>Marca</w:t>
      </w:r>
      <w:r w:rsidRPr="00627D4A">
        <w:t xml:space="preserve">). In total, headlines related to 8 March accounted for 21% (n=6) of the sample analysed across both newspapers. The second factor behind this increase was the coverage of the European Indoor Athletics Championships, where Spanish athletes such as Paula Sevilla and Ana </w:t>
      </w:r>
      <w:proofErr w:type="spellStart"/>
      <w:r w:rsidRPr="00627D4A">
        <w:t>Peleteiro</w:t>
      </w:r>
      <w:proofErr w:type="spellEnd"/>
      <w:r w:rsidRPr="00627D4A">
        <w:t xml:space="preserve"> stood out.</w:t>
      </w:r>
    </w:p>
    <w:p w14:paraId="22B1E7D5" w14:textId="77777777" w:rsidR="005A6581" w:rsidRPr="00627D4A" w:rsidRDefault="005A6581">
      <w:pPr>
        <w:ind w:firstLine="720"/>
        <w:jc w:val="both"/>
      </w:pPr>
    </w:p>
    <w:p w14:paraId="1E1789DB" w14:textId="77777777" w:rsidR="005A6581" w:rsidRDefault="0064432F">
      <w:pPr>
        <w:jc w:val="both"/>
      </w:pPr>
      <w:r w:rsidRPr="00627D4A">
        <w:rPr>
          <w:b/>
        </w:rPr>
        <w:t>Table 2.</w:t>
      </w:r>
      <w:r w:rsidRPr="00627D4A">
        <w:t xml:space="preserve"> Total number and percentage</w:t>
      </w:r>
      <w:r>
        <w:t xml:space="preserve"> of headlines about women’s sport and/or female athletes, distributed according to their characteristics.</w:t>
      </w:r>
    </w:p>
    <w:p w14:paraId="0810683C" w14:textId="77777777" w:rsidR="005A6581" w:rsidRDefault="005A6581">
      <w:pPr>
        <w:jc w:val="both"/>
      </w:pPr>
    </w:p>
    <w:tbl>
      <w:tblPr>
        <w:tblStyle w:val="ac"/>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5"/>
        <w:gridCol w:w="555"/>
        <w:gridCol w:w="750"/>
        <w:gridCol w:w="705"/>
        <w:gridCol w:w="915"/>
        <w:gridCol w:w="720"/>
        <w:gridCol w:w="930"/>
        <w:gridCol w:w="630"/>
        <w:gridCol w:w="765"/>
        <w:gridCol w:w="765"/>
        <w:gridCol w:w="930"/>
      </w:tblGrid>
      <w:tr w:rsidR="005A6581" w14:paraId="294C3F28" w14:textId="77777777">
        <w:trPr>
          <w:trHeight w:val="2175"/>
        </w:trPr>
        <w:tc>
          <w:tcPr>
            <w:tcW w:w="1125" w:type="dxa"/>
            <w:tcBorders>
              <w:top w:val="single" w:sz="8" w:space="0" w:color="000000"/>
              <w:left w:val="nil"/>
              <w:bottom w:val="single" w:sz="8" w:space="0" w:color="000000"/>
              <w:right w:val="nil"/>
            </w:tcBorders>
            <w:tcMar>
              <w:top w:w="0" w:type="dxa"/>
              <w:left w:w="100" w:type="dxa"/>
              <w:bottom w:w="0" w:type="dxa"/>
              <w:right w:w="100" w:type="dxa"/>
            </w:tcMar>
          </w:tcPr>
          <w:p w14:paraId="787B78D2" w14:textId="77777777" w:rsidR="005A6581" w:rsidRDefault="005A6581">
            <w:pPr>
              <w:spacing w:before="240" w:line="276" w:lineRule="auto"/>
              <w:jc w:val="center"/>
              <w:rPr>
                <w:sz w:val="22"/>
                <w:szCs w:val="22"/>
              </w:rPr>
            </w:pPr>
          </w:p>
        </w:tc>
        <w:tc>
          <w:tcPr>
            <w:tcW w:w="1305" w:type="dxa"/>
            <w:gridSpan w:val="2"/>
            <w:tcBorders>
              <w:top w:val="single" w:sz="8" w:space="0" w:color="000000"/>
              <w:left w:val="nil"/>
              <w:bottom w:val="single" w:sz="8" w:space="0" w:color="000000"/>
              <w:right w:val="nil"/>
            </w:tcBorders>
            <w:tcMar>
              <w:top w:w="0" w:type="dxa"/>
              <w:left w:w="100" w:type="dxa"/>
              <w:bottom w:w="0" w:type="dxa"/>
              <w:right w:w="100" w:type="dxa"/>
            </w:tcMar>
          </w:tcPr>
          <w:p w14:paraId="33D704E1" w14:textId="77777777" w:rsidR="005A6581" w:rsidRDefault="0064432F">
            <w:pPr>
              <w:spacing w:before="240" w:line="276" w:lineRule="auto"/>
              <w:jc w:val="both"/>
              <w:rPr>
                <w:sz w:val="22"/>
                <w:szCs w:val="22"/>
              </w:rPr>
            </w:pPr>
            <w:r>
              <w:rPr>
                <w:sz w:val="22"/>
                <w:szCs w:val="22"/>
              </w:rPr>
              <w:t xml:space="preserve">Headline without visibility of the athlete’s </w:t>
            </w:r>
            <w:proofErr w:type="gramStart"/>
            <w:r>
              <w:rPr>
                <w:sz w:val="22"/>
                <w:szCs w:val="22"/>
              </w:rPr>
              <w:t>name  (</w:t>
            </w:r>
            <w:proofErr w:type="gramEnd"/>
            <w:r>
              <w:rPr>
                <w:sz w:val="22"/>
                <w:szCs w:val="22"/>
              </w:rPr>
              <w:t>Total No. and %)</w:t>
            </w:r>
          </w:p>
        </w:tc>
        <w:tc>
          <w:tcPr>
            <w:tcW w:w="1620" w:type="dxa"/>
            <w:gridSpan w:val="2"/>
            <w:tcBorders>
              <w:top w:val="single" w:sz="8" w:space="0" w:color="000000"/>
              <w:left w:val="nil"/>
              <w:bottom w:val="single" w:sz="8" w:space="0" w:color="000000"/>
              <w:right w:val="nil"/>
            </w:tcBorders>
            <w:tcMar>
              <w:top w:w="0" w:type="dxa"/>
              <w:left w:w="100" w:type="dxa"/>
              <w:bottom w:w="0" w:type="dxa"/>
              <w:right w:w="100" w:type="dxa"/>
            </w:tcMar>
          </w:tcPr>
          <w:p w14:paraId="5AE2F77D" w14:textId="77777777" w:rsidR="005A6581" w:rsidRDefault="0064432F">
            <w:pPr>
              <w:spacing w:before="240" w:line="276" w:lineRule="auto"/>
              <w:jc w:val="both"/>
              <w:rPr>
                <w:sz w:val="22"/>
                <w:szCs w:val="22"/>
              </w:rPr>
            </w:pPr>
            <w:r>
              <w:rPr>
                <w:sz w:val="22"/>
                <w:szCs w:val="22"/>
              </w:rPr>
              <w:t xml:space="preserve">Headline featured o shared with </w:t>
            </w:r>
            <w:proofErr w:type="gramStart"/>
            <w:r>
              <w:rPr>
                <w:sz w:val="22"/>
                <w:szCs w:val="22"/>
              </w:rPr>
              <w:t>men  (</w:t>
            </w:r>
            <w:proofErr w:type="gramEnd"/>
            <w:r>
              <w:rPr>
                <w:sz w:val="22"/>
                <w:szCs w:val="22"/>
              </w:rPr>
              <w:t>Total No. and %)</w:t>
            </w:r>
          </w:p>
        </w:tc>
        <w:tc>
          <w:tcPr>
            <w:tcW w:w="1650" w:type="dxa"/>
            <w:gridSpan w:val="2"/>
            <w:tcBorders>
              <w:top w:val="single" w:sz="8" w:space="0" w:color="000000"/>
              <w:left w:val="nil"/>
              <w:bottom w:val="single" w:sz="8" w:space="0" w:color="000000"/>
              <w:right w:val="nil"/>
            </w:tcBorders>
            <w:tcMar>
              <w:top w:w="0" w:type="dxa"/>
              <w:left w:w="100" w:type="dxa"/>
              <w:bottom w:w="0" w:type="dxa"/>
              <w:right w:w="100" w:type="dxa"/>
            </w:tcMar>
          </w:tcPr>
          <w:p w14:paraId="503D68C0" w14:textId="77777777" w:rsidR="005A6581" w:rsidRDefault="0064432F">
            <w:pPr>
              <w:spacing w:before="240" w:line="276" w:lineRule="auto"/>
              <w:jc w:val="both"/>
              <w:rPr>
                <w:sz w:val="22"/>
                <w:szCs w:val="22"/>
              </w:rPr>
            </w:pPr>
            <w:r>
              <w:rPr>
                <w:sz w:val="22"/>
                <w:szCs w:val="22"/>
              </w:rPr>
              <w:t>Non-sporting headline (Total No. and %)</w:t>
            </w:r>
          </w:p>
        </w:tc>
        <w:tc>
          <w:tcPr>
            <w:tcW w:w="1395" w:type="dxa"/>
            <w:gridSpan w:val="2"/>
            <w:tcBorders>
              <w:top w:val="single" w:sz="8" w:space="0" w:color="000000"/>
              <w:left w:val="nil"/>
              <w:bottom w:val="single" w:sz="8" w:space="0" w:color="000000"/>
              <w:right w:val="nil"/>
            </w:tcBorders>
            <w:tcMar>
              <w:top w:w="0" w:type="dxa"/>
              <w:left w:w="100" w:type="dxa"/>
              <w:bottom w:w="0" w:type="dxa"/>
              <w:right w:w="100" w:type="dxa"/>
            </w:tcMar>
          </w:tcPr>
          <w:p w14:paraId="5EE86EA1" w14:textId="77777777" w:rsidR="005A6581" w:rsidRDefault="0064432F">
            <w:pPr>
              <w:spacing w:before="240" w:line="276" w:lineRule="auto"/>
              <w:jc w:val="both"/>
              <w:rPr>
                <w:sz w:val="22"/>
                <w:szCs w:val="22"/>
              </w:rPr>
            </w:pPr>
            <w:r>
              <w:rPr>
                <w:sz w:val="22"/>
                <w:szCs w:val="22"/>
              </w:rPr>
              <w:t>Headline with an informative approach (Total No. and %)</w:t>
            </w:r>
          </w:p>
        </w:tc>
        <w:tc>
          <w:tcPr>
            <w:tcW w:w="1695" w:type="dxa"/>
            <w:gridSpan w:val="2"/>
            <w:tcBorders>
              <w:top w:val="single" w:sz="8" w:space="0" w:color="000000"/>
              <w:left w:val="nil"/>
              <w:bottom w:val="single" w:sz="8" w:space="0" w:color="000000"/>
              <w:right w:val="nil"/>
            </w:tcBorders>
            <w:tcMar>
              <w:top w:w="0" w:type="dxa"/>
              <w:left w:w="100" w:type="dxa"/>
              <w:bottom w:w="0" w:type="dxa"/>
              <w:right w:w="100" w:type="dxa"/>
            </w:tcMar>
          </w:tcPr>
          <w:p w14:paraId="15E91160" w14:textId="77777777" w:rsidR="005A6581" w:rsidRDefault="0064432F">
            <w:pPr>
              <w:spacing w:before="240" w:line="276" w:lineRule="auto"/>
              <w:jc w:val="both"/>
              <w:rPr>
                <w:sz w:val="22"/>
                <w:szCs w:val="22"/>
              </w:rPr>
            </w:pPr>
            <w:r>
              <w:rPr>
                <w:sz w:val="22"/>
                <w:szCs w:val="22"/>
              </w:rPr>
              <w:t>Headline with a sensationalist approach (Total No. and %)</w:t>
            </w:r>
          </w:p>
        </w:tc>
      </w:tr>
      <w:tr w:rsidR="005A6581" w14:paraId="0F55340F" w14:textId="77777777">
        <w:trPr>
          <w:trHeight w:val="285"/>
        </w:trPr>
        <w:tc>
          <w:tcPr>
            <w:tcW w:w="1125" w:type="dxa"/>
            <w:tcBorders>
              <w:top w:val="nil"/>
              <w:left w:val="nil"/>
              <w:bottom w:val="single" w:sz="8" w:space="0" w:color="000000"/>
              <w:right w:val="nil"/>
            </w:tcBorders>
            <w:tcMar>
              <w:top w:w="0" w:type="dxa"/>
              <w:left w:w="100" w:type="dxa"/>
              <w:bottom w:w="0" w:type="dxa"/>
              <w:right w:w="100" w:type="dxa"/>
            </w:tcMar>
          </w:tcPr>
          <w:p w14:paraId="6D1FAC9B" w14:textId="77777777" w:rsidR="005A6581" w:rsidRDefault="0064432F">
            <w:pPr>
              <w:spacing w:before="240" w:line="276" w:lineRule="auto"/>
              <w:jc w:val="center"/>
              <w:rPr>
                <w:b/>
                <w:sz w:val="22"/>
                <w:szCs w:val="22"/>
              </w:rPr>
            </w:pPr>
            <w:r>
              <w:rPr>
                <w:b/>
                <w:sz w:val="22"/>
                <w:szCs w:val="22"/>
              </w:rPr>
              <w:t>AS</w:t>
            </w:r>
          </w:p>
        </w:tc>
        <w:tc>
          <w:tcPr>
            <w:tcW w:w="555" w:type="dxa"/>
            <w:tcBorders>
              <w:top w:val="nil"/>
              <w:left w:val="nil"/>
              <w:bottom w:val="single" w:sz="8" w:space="0" w:color="000000"/>
              <w:right w:val="nil"/>
            </w:tcBorders>
            <w:tcMar>
              <w:top w:w="0" w:type="dxa"/>
              <w:left w:w="100" w:type="dxa"/>
              <w:bottom w:w="0" w:type="dxa"/>
              <w:right w:w="100" w:type="dxa"/>
            </w:tcMar>
          </w:tcPr>
          <w:p w14:paraId="732DB6A8" w14:textId="77777777" w:rsidR="005A6581" w:rsidRDefault="0064432F">
            <w:pPr>
              <w:spacing w:before="240" w:line="276" w:lineRule="auto"/>
              <w:jc w:val="center"/>
              <w:rPr>
                <w:sz w:val="22"/>
                <w:szCs w:val="22"/>
              </w:rPr>
            </w:pPr>
            <w:r>
              <w:rPr>
                <w:sz w:val="22"/>
                <w:szCs w:val="22"/>
              </w:rPr>
              <w:t>3</w:t>
            </w:r>
          </w:p>
        </w:tc>
        <w:tc>
          <w:tcPr>
            <w:tcW w:w="750" w:type="dxa"/>
            <w:tcBorders>
              <w:top w:val="nil"/>
              <w:left w:val="nil"/>
              <w:bottom w:val="single" w:sz="8" w:space="0" w:color="000000"/>
              <w:right w:val="nil"/>
            </w:tcBorders>
            <w:tcMar>
              <w:top w:w="0" w:type="dxa"/>
              <w:left w:w="100" w:type="dxa"/>
              <w:bottom w:w="0" w:type="dxa"/>
              <w:right w:w="100" w:type="dxa"/>
            </w:tcMar>
          </w:tcPr>
          <w:p w14:paraId="3BC55114" w14:textId="77777777" w:rsidR="005A6581" w:rsidRDefault="0064432F">
            <w:pPr>
              <w:spacing w:before="240" w:line="276" w:lineRule="auto"/>
              <w:jc w:val="center"/>
              <w:rPr>
                <w:sz w:val="22"/>
                <w:szCs w:val="22"/>
              </w:rPr>
            </w:pPr>
            <w:r>
              <w:rPr>
                <w:sz w:val="22"/>
                <w:szCs w:val="22"/>
              </w:rPr>
              <w:t>21%</w:t>
            </w:r>
          </w:p>
        </w:tc>
        <w:tc>
          <w:tcPr>
            <w:tcW w:w="705" w:type="dxa"/>
            <w:tcBorders>
              <w:top w:val="nil"/>
              <w:left w:val="nil"/>
              <w:bottom w:val="single" w:sz="8" w:space="0" w:color="000000"/>
              <w:right w:val="nil"/>
            </w:tcBorders>
            <w:tcMar>
              <w:top w:w="0" w:type="dxa"/>
              <w:left w:w="100" w:type="dxa"/>
              <w:bottom w:w="0" w:type="dxa"/>
              <w:right w:w="100" w:type="dxa"/>
            </w:tcMar>
          </w:tcPr>
          <w:p w14:paraId="1BC44475" w14:textId="77777777" w:rsidR="005A6581" w:rsidRDefault="0064432F">
            <w:pPr>
              <w:spacing w:before="240" w:line="276" w:lineRule="auto"/>
              <w:jc w:val="center"/>
              <w:rPr>
                <w:sz w:val="22"/>
                <w:szCs w:val="22"/>
              </w:rPr>
            </w:pPr>
            <w:r>
              <w:rPr>
                <w:sz w:val="22"/>
                <w:szCs w:val="22"/>
              </w:rPr>
              <w:t>4</w:t>
            </w:r>
          </w:p>
        </w:tc>
        <w:tc>
          <w:tcPr>
            <w:tcW w:w="915" w:type="dxa"/>
            <w:tcBorders>
              <w:top w:val="nil"/>
              <w:left w:val="nil"/>
              <w:bottom w:val="single" w:sz="8" w:space="0" w:color="000000"/>
              <w:right w:val="nil"/>
            </w:tcBorders>
            <w:tcMar>
              <w:top w:w="0" w:type="dxa"/>
              <w:left w:w="100" w:type="dxa"/>
              <w:bottom w:w="0" w:type="dxa"/>
              <w:right w:w="100" w:type="dxa"/>
            </w:tcMar>
          </w:tcPr>
          <w:p w14:paraId="53830E53" w14:textId="77777777" w:rsidR="005A6581" w:rsidRDefault="0064432F">
            <w:pPr>
              <w:spacing w:before="240" w:line="276" w:lineRule="auto"/>
              <w:jc w:val="center"/>
              <w:rPr>
                <w:sz w:val="22"/>
                <w:szCs w:val="22"/>
              </w:rPr>
            </w:pPr>
            <w:r>
              <w:rPr>
                <w:sz w:val="22"/>
                <w:szCs w:val="22"/>
              </w:rPr>
              <w:t>29%</w:t>
            </w:r>
          </w:p>
        </w:tc>
        <w:tc>
          <w:tcPr>
            <w:tcW w:w="720" w:type="dxa"/>
            <w:tcBorders>
              <w:top w:val="nil"/>
              <w:left w:val="nil"/>
              <w:bottom w:val="single" w:sz="8" w:space="0" w:color="000000"/>
              <w:right w:val="nil"/>
            </w:tcBorders>
            <w:tcMar>
              <w:top w:w="0" w:type="dxa"/>
              <w:left w:w="100" w:type="dxa"/>
              <w:bottom w:w="0" w:type="dxa"/>
              <w:right w:w="100" w:type="dxa"/>
            </w:tcMar>
          </w:tcPr>
          <w:p w14:paraId="65C96D7A" w14:textId="77777777" w:rsidR="005A6581" w:rsidRDefault="0064432F">
            <w:pPr>
              <w:spacing w:before="240" w:line="276" w:lineRule="auto"/>
              <w:jc w:val="center"/>
              <w:rPr>
                <w:sz w:val="22"/>
                <w:szCs w:val="22"/>
              </w:rPr>
            </w:pPr>
            <w:r>
              <w:rPr>
                <w:sz w:val="22"/>
                <w:szCs w:val="22"/>
              </w:rPr>
              <w:t>4</w:t>
            </w:r>
          </w:p>
        </w:tc>
        <w:tc>
          <w:tcPr>
            <w:tcW w:w="930" w:type="dxa"/>
            <w:tcBorders>
              <w:top w:val="nil"/>
              <w:left w:val="nil"/>
              <w:bottom w:val="single" w:sz="8" w:space="0" w:color="000000"/>
              <w:right w:val="nil"/>
            </w:tcBorders>
            <w:tcMar>
              <w:top w:w="0" w:type="dxa"/>
              <w:left w:w="100" w:type="dxa"/>
              <w:bottom w:w="0" w:type="dxa"/>
              <w:right w:w="100" w:type="dxa"/>
            </w:tcMar>
          </w:tcPr>
          <w:p w14:paraId="7B79CDAA" w14:textId="77777777" w:rsidR="005A6581" w:rsidRDefault="0064432F">
            <w:pPr>
              <w:spacing w:before="240" w:line="276" w:lineRule="auto"/>
              <w:jc w:val="center"/>
              <w:rPr>
                <w:sz w:val="22"/>
                <w:szCs w:val="22"/>
              </w:rPr>
            </w:pPr>
            <w:r>
              <w:rPr>
                <w:sz w:val="22"/>
                <w:szCs w:val="22"/>
              </w:rPr>
              <w:t>29%</w:t>
            </w:r>
          </w:p>
        </w:tc>
        <w:tc>
          <w:tcPr>
            <w:tcW w:w="630" w:type="dxa"/>
            <w:tcBorders>
              <w:top w:val="nil"/>
              <w:left w:val="nil"/>
              <w:bottom w:val="single" w:sz="8" w:space="0" w:color="000000"/>
              <w:right w:val="nil"/>
            </w:tcBorders>
            <w:tcMar>
              <w:top w:w="0" w:type="dxa"/>
              <w:left w:w="100" w:type="dxa"/>
              <w:bottom w:w="0" w:type="dxa"/>
              <w:right w:w="100" w:type="dxa"/>
            </w:tcMar>
          </w:tcPr>
          <w:p w14:paraId="0AD3E5A0" w14:textId="77777777" w:rsidR="005A6581" w:rsidRDefault="0064432F">
            <w:pPr>
              <w:spacing w:before="240" w:line="276" w:lineRule="auto"/>
              <w:jc w:val="center"/>
              <w:rPr>
                <w:sz w:val="22"/>
                <w:szCs w:val="22"/>
              </w:rPr>
            </w:pPr>
            <w:r>
              <w:rPr>
                <w:sz w:val="22"/>
                <w:szCs w:val="22"/>
              </w:rPr>
              <w:t>5</w:t>
            </w:r>
          </w:p>
        </w:tc>
        <w:tc>
          <w:tcPr>
            <w:tcW w:w="765" w:type="dxa"/>
            <w:tcBorders>
              <w:top w:val="nil"/>
              <w:left w:val="nil"/>
              <w:bottom w:val="single" w:sz="8" w:space="0" w:color="000000"/>
              <w:right w:val="nil"/>
            </w:tcBorders>
            <w:tcMar>
              <w:top w:w="0" w:type="dxa"/>
              <w:left w:w="100" w:type="dxa"/>
              <w:bottom w:w="0" w:type="dxa"/>
              <w:right w:w="100" w:type="dxa"/>
            </w:tcMar>
          </w:tcPr>
          <w:p w14:paraId="7E1CF021" w14:textId="77777777" w:rsidR="005A6581" w:rsidRDefault="0064432F">
            <w:pPr>
              <w:spacing w:before="240" w:line="276" w:lineRule="auto"/>
              <w:jc w:val="center"/>
              <w:rPr>
                <w:sz w:val="22"/>
                <w:szCs w:val="22"/>
              </w:rPr>
            </w:pPr>
            <w:r>
              <w:rPr>
                <w:sz w:val="22"/>
                <w:szCs w:val="22"/>
              </w:rPr>
              <w:t>36%</w:t>
            </w:r>
          </w:p>
        </w:tc>
        <w:tc>
          <w:tcPr>
            <w:tcW w:w="765" w:type="dxa"/>
            <w:tcBorders>
              <w:top w:val="nil"/>
              <w:left w:val="nil"/>
              <w:bottom w:val="single" w:sz="8" w:space="0" w:color="000000"/>
              <w:right w:val="nil"/>
            </w:tcBorders>
            <w:tcMar>
              <w:top w:w="0" w:type="dxa"/>
              <w:left w:w="100" w:type="dxa"/>
              <w:bottom w:w="0" w:type="dxa"/>
              <w:right w:w="100" w:type="dxa"/>
            </w:tcMar>
          </w:tcPr>
          <w:p w14:paraId="37352D5B" w14:textId="77777777" w:rsidR="005A6581" w:rsidRDefault="0064432F">
            <w:pPr>
              <w:spacing w:before="240" w:line="276" w:lineRule="auto"/>
              <w:jc w:val="center"/>
              <w:rPr>
                <w:sz w:val="22"/>
                <w:szCs w:val="22"/>
              </w:rPr>
            </w:pPr>
            <w:r>
              <w:rPr>
                <w:sz w:val="22"/>
                <w:szCs w:val="22"/>
              </w:rPr>
              <w:t>9</w:t>
            </w:r>
          </w:p>
        </w:tc>
        <w:tc>
          <w:tcPr>
            <w:tcW w:w="930" w:type="dxa"/>
            <w:tcBorders>
              <w:top w:val="nil"/>
              <w:left w:val="nil"/>
              <w:bottom w:val="single" w:sz="8" w:space="0" w:color="000000"/>
              <w:right w:val="nil"/>
            </w:tcBorders>
            <w:tcMar>
              <w:top w:w="0" w:type="dxa"/>
              <w:left w:w="100" w:type="dxa"/>
              <w:bottom w:w="0" w:type="dxa"/>
              <w:right w:w="100" w:type="dxa"/>
            </w:tcMar>
          </w:tcPr>
          <w:p w14:paraId="0E19D035" w14:textId="77777777" w:rsidR="005A6581" w:rsidRDefault="0064432F">
            <w:pPr>
              <w:spacing w:before="240" w:line="276" w:lineRule="auto"/>
              <w:jc w:val="center"/>
              <w:rPr>
                <w:sz w:val="22"/>
                <w:szCs w:val="22"/>
              </w:rPr>
            </w:pPr>
            <w:r>
              <w:rPr>
                <w:sz w:val="22"/>
                <w:szCs w:val="22"/>
              </w:rPr>
              <w:t>64%</w:t>
            </w:r>
          </w:p>
        </w:tc>
      </w:tr>
      <w:tr w:rsidR="005A6581" w14:paraId="55F0A897" w14:textId="77777777">
        <w:trPr>
          <w:trHeight w:val="285"/>
        </w:trPr>
        <w:tc>
          <w:tcPr>
            <w:tcW w:w="1125" w:type="dxa"/>
            <w:tcBorders>
              <w:top w:val="nil"/>
              <w:left w:val="nil"/>
              <w:bottom w:val="single" w:sz="8" w:space="0" w:color="000000"/>
              <w:right w:val="nil"/>
            </w:tcBorders>
            <w:tcMar>
              <w:top w:w="0" w:type="dxa"/>
              <w:left w:w="100" w:type="dxa"/>
              <w:bottom w:w="0" w:type="dxa"/>
              <w:right w:w="100" w:type="dxa"/>
            </w:tcMar>
          </w:tcPr>
          <w:p w14:paraId="52BADCC5" w14:textId="77777777" w:rsidR="005A6581" w:rsidRDefault="0064432F">
            <w:pPr>
              <w:spacing w:before="240" w:line="276" w:lineRule="auto"/>
              <w:jc w:val="center"/>
              <w:rPr>
                <w:b/>
                <w:sz w:val="22"/>
                <w:szCs w:val="22"/>
              </w:rPr>
            </w:pPr>
            <w:r>
              <w:rPr>
                <w:b/>
                <w:sz w:val="22"/>
                <w:szCs w:val="22"/>
              </w:rPr>
              <w:t>MARCA</w:t>
            </w:r>
          </w:p>
        </w:tc>
        <w:tc>
          <w:tcPr>
            <w:tcW w:w="555" w:type="dxa"/>
            <w:tcBorders>
              <w:top w:val="nil"/>
              <w:left w:val="nil"/>
              <w:bottom w:val="single" w:sz="8" w:space="0" w:color="000000"/>
              <w:right w:val="nil"/>
            </w:tcBorders>
            <w:tcMar>
              <w:top w:w="0" w:type="dxa"/>
              <w:left w:w="100" w:type="dxa"/>
              <w:bottom w:w="0" w:type="dxa"/>
              <w:right w:w="100" w:type="dxa"/>
            </w:tcMar>
          </w:tcPr>
          <w:p w14:paraId="65B449AE" w14:textId="77777777" w:rsidR="005A6581" w:rsidRDefault="0064432F">
            <w:pPr>
              <w:spacing w:before="240" w:line="276" w:lineRule="auto"/>
              <w:jc w:val="center"/>
              <w:rPr>
                <w:sz w:val="22"/>
                <w:szCs w:val="22"/>
              </w:rPr>
            </w:pPr>
            <w:r>
              <w:rPr>
                <w:sz w:val="22"/>
                <w:szCs w:val="22"/>
              </w:rPr>
              <w:t>7</w:t>
            </w:r>
          </w:p>
        </w:tc>
        <w:tc>
          <w:tcPr>
            <w:tcW w:w="750" w:type="dxa"/>
            <w:tcBorders>
              <w:top w:val="nil"/>
              <w:left w:val="nil"/>
              <w:bottom w:val="single" w:sz="8" w:space="0" w:color="000000"/>
              <w:right w:val="nil"/>
            </w:tcBorders>
            <w:tcMar>
              <w:top w:w="0" w:type="dxa"/>
              <w:left w:w="100" w:type="dxa"/>
              <w:bottom w:w="0" w:type="dxa"/>
              <w:right w:w="100" w:type="dxa"/>
            </w:tcMar>
          </w:tcPr>
          <w:p w14:paraId="507B896D" w14:textId="77777777" w:rsidR="005A6581" w:rsidRDefault="0064432F">
            <w:pPr>
              <w:spacing w:before="240" w:line="276" w:lineRule="auto"/>
              <w:jc w:val="center"/>
              <w:rPr>
                <w:sz w:val="22"/>
                <w:szCs w:val="22"/>
              </w:rPr>
            </w:pPr>
            <w:r>
              <w:rPr>
                <w:sz w:val="22"/>
                <w:szCs w:val="22"/>
              </w:rPr>
              <w:t>50%</w:t>
            </w:r>
          </w:p>
        </w:tc>
        <w:tc>
          <w:tcPr>
            <w:tcW w:w="705" w:type="dxa"/>
            <w:tcBorders>
              <w:top w:val="nil"/>
              <w:left w:val="nil"/>
              <w:bottom w:val="single" w:sz="8" w:space="0" w:color="000000"/>
              <w:right w:val="nil"/>
            </w:tcBorders>
            <w:tcMar>
              <w:top w:w="0" w:type="dxa"/>
              <w:left w:w="100" w:type="dxa"/>
              <w:bottom w:w="0" w:type="dxa"/>
              <w:right w:w="100" w:type="dxa"/>
            </w:tcMar>
          </w:tcPr>
          <w:p w14:paraId="2E54060C" w14:textId="77777777" w:rsidR="005A6581" w:rsidRDefault="0064432F">
            <w:pPr>
              <w:spacing w:before="240" w:line="276" w:lineRule="auto"/>
              <w:jc w:val="center"/>
              <w:rPr>
                <w:sz w:val="22"/>
                <w:szCs w:val="22"/>
              </w:rPr>
            </w:pPr>
            <w:r>
              <w:rPr>
                <w:sz w:val="22"/>
                <w:szCs w:val="22"/>
              </w:rPr>
              <w:t>2</w:t>
            </w:r>
          </w:p>
        </w:tc>
        <w:tc>
          <w:tcPr>
            <w:tcW w:w="915" w:type="dxa"/>
            <w:tcBorders>
              <w:top w:val="nil"/>
              <w:left w:val="nil"/>
              <w:bottom w:val="single" w:sz="8" w:space="0" w:color="000000"/>
              <w:right w:val="nil"/>
            </w:tcBorders>
            <w:tcMar>
              <w:top w:w="0" w:type="dxa"/>
              <w:left w:w="100" w:type="dxa"/>
              <w:bottom w:w="0" w:type="dxa"/>
              <w:right w:w="100" w:type="dxa"/>
            </w:tcMar>
          </w:tcPr>
          <w:p w14:paraId="6878BFF7" w14:textId="77777777" w:rsidR="005A6581" w:rsidRDefault="0064432F">
            <w:pPr>
              <w:spacing w:before="240" w:line="276" w:lineRule="auto"/>
              <w:jc w:val="center"/>
              <w:rPr>
                <w:sz w:val="22"/>
                <w:szCs w:val="22"/>
              </w:rPr>
            </w:pPr>
            <w:r>
              <w:rPr>
                <w:sz w:val="22"/>
                <w:szCs w:val="22"/>
              </w:rPr>
              <w:t>14%</w:t>
            </w:r>
          </w:p>
        </w:tc>
        <w:tc>
          <w:tcPr>
            <w:tcW w:w="720" w:type="dxa"/>
            <w:tcBorders>
              <w:top w:val="nil"/>
              <w:left w:val="nil"/>
              <w:bottom w:val="single" w:sz="8" w:space="0" w:color="000000"/>
              <w:right w:val="nil"/>
            </w:tcBorders>
            <w:tcMar>
              <w:top w:w="0" w:type="dxa"/>
              <w:left w:w="100" w:type="dxa"/>
              <w:bottom w:w="0" w:type="dxa"/>
              <w:right w:w="100" w:type="dxa"/>
            </w:tcMar>
          </w:tcPr>
          <w:p w14:paraId="7B695D1D" w14:textId="77777777" w:rsidR="005A6581" w:rsidRDefault="0064432F">
            <w:pPr>
              <w:spacing w:before="240" w:line="276" w:lineRule="auto"/>
              <w:jc w:val="center"/>
              <w:rPr>
                <w:sz w:val="22"/>
                <w:szCs w:val="22"/>
              </w:rPr>
            </w:pPr>
            <w:r>
              <w:rPr>
                <w:sz w:val="22"/>
                <w:szCs w:val="22"/>
              </w:rPr>
              <w:t>2</w:t>
            </w:r>
          </w:p>
        </w:tc>
        <w:tc>
          <w:tcPr>
            <w:tcW w:w="930" w:type="dxa"/>
            <w:tcBorders>
              <w:top w:val="nil"/>
              <w:left w:val="nil"/>
              <w:bottom w:val="single" w:sz="8" w:space="0" w:color="000000"/>
              <w:right w:val="nil"/>
            </w:tcBorders>
            <w:tcMar>
              <w:top w:w="0" w:type="dxa"/>
              <w:left w:w="100" w:type="dxa"/>
              <w:bottom w:w="0" w:type="dxa"/>
              <w:right w:w="100" w:type="dxa"/>
            </w:tcMar>
          </w:tcPr>
          <w:p w14:paraId="14262171" w14:textId="77777777" w:rsidR="005A6581" w:rsidRDefault="0064432F">
            <w:pPr>
              <w:spacing w:before="240" w:line="276" w:lineRule="auto"/>
              <w:jc w:val="center"/>
              <w:rPr>
                <w:sz w:val="22"/>
                <w:szCs w:val="22"/>
              </w:rPr>
            </w:pPr>
            <w:r>
              <w:rPr>
                <w:sz w:val="22"/>
                <w:szCs w:val="22"/>
              </w:rPr>
              <w:t>14%</w:t>
            </w:r>
          </w:p>
        </w:tc>
        <w:tc>
          <w:tcPr>
            <w:tcW w:w="630" w:type="dxa"/>
            <w:tcBorders>
              <w:top w:val="nil"/>
              <w:left w:val="nil"/>
              <w:bottom w:val="single" w:sz="8" w:space="0" w:color="000000"/>
              <w:right w:val="nil"/>
            </w:tcBorders>
            <w:tcMar>
              <w:top w:w="0" w:type="dxa"/>
              <w:left w:w="100" w:type="dxa"/>
              <w:bottom w:w="0" w:type="dxa"/>
              <w:right w:w="100" w:type="dxa"/>
            </w:tcMar>
          </w:tcPr>
          <w:p w14:paraId="15DDA1ED" w14:textId="77777777" w:rsidR="005A6581" w:rsidRDefault="0064432F">
            <w:pPr>
              <w:spacing w:before="240" w:line="276" w:lineRule="auto"/>
              <w:jc w:val="center"/>
              <w:rPr>
                <w:sz w:val="22"/>
                <w:szCs w:val="22"/>
              </w:rPr>
            </w:pPr>
            <w:r>
              <w:rPr>
                <w:sz w:val="22"/>
                <w:szCs w:val="22"/>
              </w:rPr>
              <w:t>6</w:t>
            </w:r>
          </w:p>
        </w:tc>
        <w:tc>
          <w:tcPr>
            <w:tcW w:w="765" w:type="dxa"/>
            <w:tcBorders>
              <w:top w:val="nil"/>
              <w:left w:val="nil"/>
              <w:bottom w:val="single" w:sz="8" w:space="0" w:color="000000"/>
              <w:right w:val="nil"/>
            </w:tcBorders>
            <w:tcMar>
              <w:top w:w="0" w:type="dxa"/>
              <w:left w:w="100" w:type="dxa"/>
              <w:bottom w:w="0" w:type="dxa"/>
              <w:right w:w="100" w:type="dxa"/>
            </w:tcMar>
          </w:tcPr>
          <w:p w14:paraId="7299CB93" w14:textId="77777777" w:rsidR="005A6581" w:rsidRDefault="0064432F">
            <w:pPr>
              <w:spacing w:before="240" w:line="276" w:lineRule="auto"/>
              <w:jc w:val="center"/>
              <w:rPr>
                <w:sz w:val="22"/>
                <w:szCs w:val="22"/>
              </w:rPr>
            </w:pPr>
            <w:r>
              <w:rPr>
                <w:sz w:val="22"/>
                <w:szCs w:val="22"/>
              </w:rPr>
              <w:t>43%</w:t>
            </w:r>
          </w:p>
        </w:tc>
        <w:tc>
          <w:tcPr>
            <w:tcW w:w="765" w:type="dxa"/>
            <w:tcBorders>
              <w:top w:val="nil"/>
              <w:left w:val="nil"/>
              <w:bottom w:val="single" w:sz="8" w:space="0" w:color="000000"/>
              <w:right w:val="nil"/>
            </w:tcBorders>
            <w:tcMar>
              <w:top w:w="0" w:type="dxa"/>
              <w:left w:w="100" w:type="dxa"/>
              <w:bottom w:w="0" w:type="dxa"/>
              <w:right w:w="100" w:type="dxa"/>
            </w:tcMar>
          </w:tcPr>
          <w:p w14:paraId="1123B560" w14:textId="77777777" w:rsidR="005A6581" w:rsidRDefault="0064432F">
            <w:pPr>
              <w:spacing w:before="240" w:line="276" w:lineRule="auto"/>
              <w:jc w:val="center"/>
              <w:rPr>
                <w:sz w:val="22"/>
                <w:szCs w:val="22"/>
              </w:rPr>
            </w:pPr>
            <w:r>
              <w:rPr>
                <w:sz w:val="22"/>
                <w:szCs w:val="22"/>
              </w:rPr>
              <w:t>8</w:t>
            </w:r>
          </w:p>
        </w:tc>
        <w:tc>
          <w:tcPr>
            <w:tcW w:w="930" w:type="dxa"/>
            <w:tcBorders>
              <w:top w:val="nil"/>
              <w:left w:val="nil"/>
              <w:bottom w:val="single" w:sz="8" w:space="0" w:color="000000"/>
              <w:right w:val="nil"/>
            </w:tcBorders>
            <w:tcMar>
              <w:top w:w="0" w:type="dxa"/>
              <w:left w:w="100" w:type="dxa"/>
              <w:bottom w:w="0" w:type="dxa"/>
              <w:right w:w="100" w:type="dxa"/>
            </w:tcMar>
          </w:tcPr>
          <w:p w14:paraId="21F1D7CD" w14:textId="77777777" w:rsidR="005A6581" w:rsidRDefault="0064432F">
            <w:pPr>
              <w:spacing w:before="240" w:line="276" w:lineRule="auto"/>
              <w:jc w:val="center"/>
              <w:rPr>
                <w:sz w:val="22"/>
                <w:szCs w:val="22"/>
              </w:rPr>
            </w:pPr>
            <w:r>
              <w:rPr>
                <w:sz w:val="22"/>
                <w:szCs w:val="22"/>
              </w:rPr>
              <w:t>57%</w:t>
            </w:r>
          </w:p>
        </w:tc>
      </w:tr>
      <w:tr w:rsidR="005A6581" w14:paraId="72C0A49E" w14:textId="77777777">
        <w:trPr>
          <w:trHeight w:val="285"/>
        </w:trPr>
        <w:tc>
          <w:tcPr>
            <w:tcW w:w="1125" w:type="dxa"/>
            <w:tcBorders>
              <w:top w:val="nil"/>
              <w:left w:val="nil"/>
              <w:bottom w:val="single" w:sz="8" w:space="0" w:color="000000"/>
              <w:right w:val="nil"/>
            </w:tcBorders>
            <w:tcMar>
              <w:top w:w="0" w:type="dxa"/>
              <w:left w:w="100" w:type="dxa"/>
              <w:bottom w:w="0" w:type="dxa"/>
              <w:right w:w="100" w:type="dxa"/>
            </w:tcMar>
          </w:tcPr>
          <w:p w14:paraId="0C808FE3" w14:textId="77777777" w:rsidR="005A6581" w:rsidRDefault="0064432F">
            <w:pPr>
              <w:spacing w:before="240" w:line="276" w:lineRule="auto"/>
              <w:jc w:val="center"/>
              <w:rPr>
                <w:b/>
                <w:sz w:val="22"/>
                <w:szCs w:val="22"/>
              </w:rPr>
            </w:pPr>
            <w:r>
              <w:rPr>
                <w:b/>
                <w:sz w:val="22"/>
                <w:szCs w:val="22"/>
              </w:rPr>
              <w:t>Total</w:t>
            </w:r>
          </w:p>
        </w:tc>
        <w:tc>
          <w:tcPr>
            <w:tcW w:w="555" w:type="dxa"/>
            <w:tcBorders>
              <w:top w:val="nil"/>
              <w:left w:val="nil"/>
              <w:bottom w:val="single" w:sz="8" w:space="0" w:color="000000"/>
              <w:right w:val="nil"/>
            </w:tcBorders>
            <w:tcMar>
              <w:top w:w="0" w:type="dxa"/>
              <w:left w:w="100" w:type="dxa"/>
              <w:bottom w:w="0" w:type="dxa"/>
              <w:right w:w="100" w:type="dxa"/>
            </w:tcMar>
          </w:tcPr>
          <w:p w14:paraId="3B1CA193" w14:textId="77777777" w:rsidR="005A6581" w:rsidRDefault="0064432F">
            <w:pPr>
              <w:spacing w:before="240" w:line="276" w:lineRule="auto"/>
              <w:jc w:val="center"/>
              <w:rPr>
                <w:sz w:val="22"/>
                <w:szCs w:val="22"/>
              </w:rPr>
            </w:pPr>
            <w:r>
              <w:rPr>
                <w:sz w:val="22"/>
                <w:szCs w:val="22"/>
              </w:rPr>
              <w:t>10</w:t>
            </w:r>
          </w:p>
        </w:tc>
        <w:tc>
          <w:tcPr>
            <w:tcW w:w="750" w:type="dxa"/>
            <w:tcBorders>
              <w:top w:val="nil"/>
              <w:left w:val="nil"/>
              <w:bottom w:val="single" w:sz="8" w:space="0" w:color="000000"/>
              <w:right w:val="nil"/>
            </w:tcBorders>
            <w:tcMar>
              <w:top w:w="0" w:type="dxa"/>
              <w:left w:w="100" w:type="dxa"/>
              <w:bottom w:w="0" w:type="dxa"/>
              <w:right w:w="100" w:type="dxa"/>
            </w:tcMar>
          </w:tcPr>
          <w:p w14:paraId="546F6163" w14:textId="77777777" w:rsidR="005A6581" w:rsidRDefault="0064432F">
            <w:pPr>
              <w:spacing w:before="240" w:line="276" w:lineRule="auto"/>
              <w:jc w:val="center"/>
              <w:rPr>
                <w:sz w:val="22"/>
                <w:szCs w:val="22"/>
              </w:rPr>
            </w:pPr>
            <w:r>
              <w:rPr>
                <w:sz w:val="22"/>
                <w:szCs w:val="22"/>
              </w:rPr>
              <w:t>36%</w:t>
            </w:r>
          </w:p>
        </w:tc>
        <w:tc>
          <w:tcPr>
            <w:tcW w:w="705" w:type="dxa"/>
            <w:tcBorders>
              <w:top w:val="nil"/>
              <w:left w:val="nil"/>
              <w:bottom w:val="single" w:sz="8" w:space="0" w:color="000000"/>
              <w:right w:val="nil"/>
            </w:tcBorders>
            <w:tcMar>
              <w:top w:w="0" w:type="dxa"/>
              <w:left w:w="100" w:type="dxa"/>
              <w:bottom w:w="0" w:type="dxa"/>
              <w:right w:w="100" w:type="dxa"/>
            </w:tcMar>
          </w:tcPr>
          <w:p w14:paraId="4FF7FCC3" w14:textId="77777777" w:rsidR="005A6581" w:rsidRDefault="0064432F">
            <w:pPr>
              <w:spacing w:before="240" w:line="276" w:lineRule="auto"/>
              <w:jc w:val="center"/>
              <w:rPr>
                <w:sz w:val="22"/>
                <w:szCs w:val="22"/>
              </w:rPr>
            </w:pPr>
            <w:r>
              <w:rPr>
                <w:sz w:val="22"/>
                <w:szCs w:val="22"/>
              </w:rPr>
              <w:t>6</w:t>
            </w:r>
          </w:p>
        </w:tc>
        <w:tc>
          <w:tcPr>
            <w:tcW w:w="915" w:type="dxa"/>
            <w:tcBorders>
              <w:top w:val="nil"/>
              <w:left w:val="nil"/>
              <w:bottom w:val="single" w:sz="8" w:space="0" w:color="000000"/>
              <w:right w:val="nil"/>
            </w:tcBorders>
            <w:tcMar>
              <w:top w:w="0" w:type="dxa"/>
              <w:left w:w="100" w:type="dxa"/>
              <w:bottom w:w="0" w:type="dxa"/>
              <w:right w:w="100" w:type="dxa"/>
            </w:tcMar>
          </w:tcPr>
          <w:p w14:paraId="77A8B0F5" w14:textId="77777777" w:rsidR="005A6581" w:rsidRDefault="0064432F">
            <w:pPr>
              <w:spacing w:before="240" w:line="276" w:lineRule="auto"/>
              <w:jc w:val="center"/>
              <w:rPr>
                <w:sz w:val="22"/>
                <w:szCs w:val="22"/>
              </w:rPr>
            </w:pPr>
            <w:r>
              <w:rPr>
                <w:sz w:val="22"/>
                <w:szCs w:val="22"/>
              </w:rPr>
              <w:t>21%</w:t>
            </w:r>
          </w:p>
        </w:tc>
        <w:tc>
          <w:tcPr>
            <w:tcW w:w="720" w:type="dxa"/>
            <w:tcBorders>
              <w:top w:val="nil"/>
              <w:left w:val="nil"/>
              <w:bottom w:val="single" w:sz="8" w:space="0" w:color="000000"/>
              <w:right w:val="nil"/>
            </w:tcBorders>
            <w:tcMar>
              <w:top w:w="0" w:type="dxa"/>
              <w:left w:w="100" w:type="dxa"/>
              <w:bottom w:w="0" w:type="dxa"/>
              <w:right w:w="100" w:type="dxa"/>
            </w:tcMar>
          </w:tcPr>
          <w:p w14:paraId="1D99AB54" w14:textId="77777777" w:rsidR="005A6581" w:rsidRDefault="0064432F">
            <w:pPr>
              <w:spacing w:before="240" w:line="276" w:lineRule="auto"/>
              <w:jc w:val="center"/>
              <w:rPr>
                <w:sz w:val="22"/>
                <w:szCs w:val="22"/>
              </w:rPr>
            </w:pPr>
            <w:r>
              <w:rPr>
                <w:sz w:val="22"/>
                <w:szCs w:val="22"/>
              </w:rPr>
              <w:t>6</w:t>
            </w:r>
          </w:p>
        </w:tc>
        <w:tc>
          <w:tcPr>
            <w:tcW w:w="930" w:type="dxa"/>
            <w:tcBorders>
              <w:top w:val="nil"/>
              <w:left w:val="nil"/>
              <w:bottom w:val="single" w:sz="8" w:space="0" w:color="000000"/>
              <w:right w:val="nil"/>
            </w:tcBorders>
            <w:tcMar>
              <w:top w:w="0" w:type="dxa"/>
              <w:left w:w="100" w:type="dxa"/>
              <w:bottom w:w="0" w:type="dxa"/>
              <w:right w:w="100" w:type="dxa"/>
            </w:tcMar>
          </w:tcPr>
          <w:p w14:paraId="2B4E86F7" w14:textId="77777777" w:rsidR="005A6581" w:rsidRDefault="0064432F">
            <w:pPr>
              <w:spacing w:before="240" w:line="276" w:lineRule="auto"/>
              <w:jc w:val="center"/>
              <w:rPr>
                <w:sz w:val="22"/>
                <w:szCs w:val="22"/>
              </w:rPr>
            </w:pPr>
            <w:r>
              <w:rPr>
                <w:sz w:val="22"/>
                <w:szCs w:val="22"/>
              </w:rPr>
              <w:t>21%</w:t>
            </w:r>
          </w:p>
        </w:tc>
        <w:tc>
          <w:tcPr>
            <w:tcW w:w="630" w:type="dxa"/>
            <w:tcBorders>
              <w:top w:val="nil"/>
              <w:left w:val="nil"/>
              <w:bottom w:val="single" w:sz="8" w:space="0" w:color="000000"/>
              <w:right w:val="nil"/>
            </w:tcBorders>
            <w:tcMar>
              <w:top w:w="0" w:type="dxa"/>
              <w:left w:w="100" w:type="dxa"/>
              <w:bottom w:w="0" w:type="dxa"/>
              <w:right w:w="100" w:type="dxa"/>
            </w:tcMar>
          </w:tcPr>
          <w:p w14:paraId="7E9C7636" w14:textId="77777777" w:rsidR="005A6581" w:rsidRDefault="0064432F">
            <w:pPr>
              <w:spacing w:before="240" w:line="276" w:lineRule="auto"/>
              <w:jc w:val="center"/>
              <w:rPr>
                <w:sz w:val="22"/>
                <w:szCs w:val="22"/>
              </w:rPr>
            </w:pPr>
            <w:r>
              <w:rPr>
                <w:sz w:val="22"/>
                <w:szCs w:val="22"/>
              </w:rPr>
              <w:t>11</w:t>
            </w:r>
          </w:p>
        </w:tc>
        <w:tc>
          <w:tcPr>
            <w:tcW w:w="765" w:type="dxa"/>
            <w:tcBorders>
              <w:top w:val="nil"/>
              <w:left w:val="nil"/>
              <w:bottom w:val="single" w:sz="8" w:space="0" w:color="000000"/>
              <w:right w:val="nil"/>
            </w:tcBorders>
            <w:tcMar>
              <w:top w:w="0" w:type="dxa"/>
              <w:left w:w="100" w:type="dxa"/>
              <w:bottom w:w="0" w:type="dxa"/>
              <w:right w:w="100" w:type="dxa"/>
            </w:tcMar>
          </w:tcPr>
          <w:p w14:paraId="536FF691" w14:textId="77777777" w:rsidR="005A6581" w:rsidRDefault="0064432F">
            <w:pPr>
              <w:spacing w:before="240" w:line="276" w:lineRule="auto"/>
              <w:jc w:val="center"/>
              <w:rPr>
                <w:sz w:val="22"/>
                <w:szCs w:val="22"/>
              </w:rPr>
            </w:pPr>
            <w:r>
              <w:rPr>
                <w:sz w:val="22"/>
                <w:szCs w:val="22"/>
              </w:rPr>
              <w:t>39%</w:t>
            </w:r>
          </w:p>
        </w:tc>
        <w:tc>
          <w:tcPr>
            <w:tcW w:w="765" w:type="dxa"/>
            <w:tcBorders>
              <w:top w:val="nil"/>
              <w:left w:val="nil"/>
              <w:bottom w:val="single" w:sz="8" w:space="0" w:color="000000"/>
              <w:right w:val="nil"/>
            </w:tcBorders>
            <w:tcMar>
              <w:top w:w="0" w:type="dxa"/>
              <w:left w:w="100" w:type="dxa"/>
              <w:bottom w:w="0" w:type="dxa"/>
              <w:right w:w="100" w:type="dxa"/>
            </w:tcMar>
          </w:tcPr>
          <w:p w14:paraId="095309BF" w14:textId="77777777" w:rsidR="005A6581" w:rsidRDefault="0064432F">
            <w:pPr>
              <w:spacing w:before="240" w:line="276" w:lineRule="auto"/>
              <w:jc w:val="center"/>
              <w:rPr>
                <w:sz w:val="22"/>
                <w:szCs w:val="22"/>
              </w:rPr>
            </w:pPr>
            <w:r>
              <w:rPr>
                <w:sz w:val="22"/>
                <w:szCs w:val="22"/>
              </w:rPr>
              <w:t>17</w:t>
            </w:r>
          </w:p>
        </w:tc>
        <w:tc>
          <w:tcPr>
            <w:tcW w:w="930" w:type="dxa"/>
            <w:tcBorders>
              <w:top w:val="nil"/>
              <w:left w:val="nil"/>
              <w:bottom w:val="single" w:sz="8" w:space="0" w:color="000000"/>
              <w:right w:val="nil"/>
            </w:tcBorders>
            <w:tcMar>
              <w:top w:w="0" w:type="dxa"/>
              <w:left w:w="100" w:type="dxa"/>
              <w:bottom w:w="0" w:type="dxa"/>
              <w:right w:w="100" w:type="dxa"/>
            </w:tcMar>
          </w:tcPr>
          <w:p w14:paraId="51A99B88" w14:textId="77777777" w:rsidR="005A6581" w:rsidRDefault="0064432F">
            <w:pPr>
              <w:spacing w:before="240" w:line="276" w:lineRule="auto"/>
              <w:jc w:val="center"/>
              <w:rPr>
                <w:sz w:val="22"/>
                <w:szCs w:val="22"/>
              </w:rPr>
            </w:pPr>
            <w:r>
              <w:rPr>
                <w:sz w:val="22"/>
                <w:szCs w:val="22"/>
              </w:rPr>
              <w:t>61%</w:t>
            </w:r>
          </w:p>
        </w:tc>
      </w:tr>
    </w:tbl>
    <w:p w14:paraId="63783709" w14:textId="1C2BD626" w:rsidR="005A6581" w:rsidRDefault="0064432F">
      <w:pPr>
        <w:tabs>
          <w:tab w:val="left" w:pos="709"/>
          <w:tab w:val="left" w:pos="1134"/>
        </w:tabs>
        <w:jc w:val="both"/>
      </w:pPr>
      <w:r>
        <w:rPr>
          <w:b/>
          <w:sz w:val="18"/>
          <w:szCs w:val="18"/>
        </w:rPr>
        <w:t>Source:</w:t>
      </w:r>
      <w:r w:rsidR="00627D4A">
        <w:rPr>
          <w:sz w:val="18"/>
          <w:szCs w:val="18"/>
        </w:rPr>
        <w:t xml:space="preserve"> The</w:t>
      </w:r>
      <w:r>
        <w:rPr>
          <w:sz w:val="18"/>
          <w:szCs w:val="18"/>
        </w:rPr>
        <w:t xml:space="preserve"> authors</w:t>
      </w:r>
    </w:p>
    <w:p w14:paraId="15E43501" w14:textId="77777777" w:rsidR="005A6581" w:rsidRDefault="005A6581">
      <w:pPr>
        <w:jc w:val="both"/>
      </w:pPr>
    </w:p>
    <w:p w14:paraId="10397ACD" w14:textId="77777777" w:rsidR="005A6581" w:rsidRDefault="0064432F">
      <w:pPr>
        <w:widowControl w:val="0"/>
        <w:jc w:val="both"/>
        <w:rPr>
          <w:b/>
        </w:rPr>
      </w:pPr>
      <w:r>
        <w:rPr>
          <w:b/>
        </w:rPr>
        <w:t>Discussion</w:t>
      </w:r>
    </w:p>
    <w:p w14:paraId="0828D4E1" w14:textId="77777777" w:rsidR="005A6581" w:rsidRDefault="005A6581">
      <w:pPr>
        <w:widowControl w:val="0"/>
        <w:ind w:firstLine="708"/>
        <w:jc w:val="both"/>
        <w:rPr>
          <w:i/>
          <w:highlight w:val="white"/>
        </w:rPr>
      </w:pPr>
    </w:p>
    <w:p w14:paraId="217B7D61" w14:textId="77777777" w:rsidR="005A6581" w:rsidRPr="00FA734E" w:rsidRDefault="0064432F">
      <w:pPr>
        <w:widowControl w:val="0"/>
        <w:ind w:firstLine="708"/>
        <w:jc w:val="both"/>
        <w:rPr>
          <w:i/>
        </w:rPr>
      </w:pPr>
      <w:r>
        <w:rPr>
          <w:i/>
          <w:highlight w:val="white"/>
        </w:rPr>
        <w:t>Women’s sport in the Spanish sports press: A portra</w:t>
      </w:r>
      <w:r w:rsidRPr="00FA734E">
        <w:rPr>
          <w:i/>
        </w:rPr>
        <w:t>it of violence against women</w:t>
      </w:r>
    </w:p>
    <w:p w14:paraId="6602A5D3" w14:textId="77777777" w:rsidR="00F26A98" w:rsidRPr="00627D4A" w:rsidRDefault="0064432F" w:rsidP="00F26A98">
      <w:pPr>
        <w:ind w:firstLine="720"/>
        <w:jc w:val="both"/>
      </w:pPr>
      <w:r>
        <w:t>Based on the data analysed, it is clear that sports reporting remains oriented towards promoting narratives and values associated with men. This is reflected in the way women are represented on front pages, including their secondary placement in headlines, the limited number of stories centred on them, the absence of personal names in titles, and the use of images that focus on their emotional state. Previous studies have already highlighted the under-representation of female athletes in the media, pointing to factors such as their low frequency of appearance in newspapers, the type of language used to describe them, and the use of low-quality images that depict them in ways that reinforce normative femininity</w:t>
      </w:r>
      <w:r>
        <w:rPr>
          <w:vertAlign w:val="superscript"/>
        </w:rPr>
        <w:t>11</w:t>
      </w:r>
      <w:r>
        <w:t xml:space="preserve">. A clear example </w:t>
      </w:r>
      <w:r>
        <w:lastRenderedPageBreak/>
        <w:t xml:space="preserve">of the </w:t>
      </w:r>
      <w:r w:rsidRPr="00627D4A">
        <w:t>stereotypical portrayal of sportswomen can be seen in the front pages published on March</w:t>
      </w:r>
      <w:r w:rsidR="00BD5829" w:rsidRPr="00627D4A">
        <w:t xml:space="preserve"> 8th</w:t>
      </w:r>
      <w:r w:rsidRPr="00627D4A">
        <w:t>, International Women’s Day, where female athletes are featured mainly in connection with athletics and swimming, sports traditionally considered suitable for women</w:t>
      </w:r>
      <w:r w:rsidRPr="00627D4A">
        <w:rPr>
          <w:vertAlign w:val="superscript"/>
        </w:rPr>
        <w:t>3</w:t>
      </w:r>
      <w:r w:rsidRPr="00627D4A">
        <w:t>.</w:t>
      </w:r>
    </w:p>
    <w:p w14:paraId="37DFA765" w14:textId="03C2DF71" w:rsidR="005A6581" w:rsidRPr="00627D4A" w:rsidRDefault="0064432F" w:rsidP="00F26A98">
      <w:pPr>
        <w:ind w:firstLine="720"/>
        <w:jc w:val="both"/>
      </w:pPr>
      <w:r w:rsidRPr="00627D4A">
        <w:t>In fact, March</w:t>
      </w:r>
      <w:r w:rsidR="00C240BA" w:rsidRPr="00627D4A">
        <w:t xml:space="preserve"> 8th</w:t>
      </w:r>
      <w:r w:rsidRPr="00627D4A">
        <w:t xml:space="preserve"> is the day with the highest frequency of </w:t>
      </w:r>
      <w:r w:rsidR="00B840CD" w:rsidRPr="00627D4A">
        <w:t xml:space="preserve">news </w:t>
      </w:r>
      <w:r w:rsidR="00C240BA" w:rsidRPr="00627D4A">
        <w:t>on</w:t>
      </w:r>
      <w:r w:rsidRPr="00627D4A">
        <w:t xml:space="preserve"> women’s sport</w:t>
      </w:r>
      <w:r w:rsidR="00B840CD" w:rsidRPr="00627D4A">
        <w:t>, whereas their presence is very limited throughout the rest of the year</w:t>
      </w:r>
      <w:r w:rsidRPr="00627D4A">
        <w:t>. In this sense, it becomes evident that, despite progress in media coverage, inequality persists. This raises an important question: why does the sports press continue to resist providing equal coverage of women’s sport?</w:t>
      </w:r>
    </w:p>
    <w:p w14:paraId="1A259600" w14:textId="77777777" w:rsidR="005A6581" w:rsidRPr="00627D4A" w:rsidRDefault="0064432F">
      <w:pPr>
        <w:ind w:firstLine="720"/>
        <w:jc w:val="both"/>
      </w:pPr>
      <w:r w:rsidRPr="00627D4A">
        <w:t>One reason that may help to better understand this reality lies in viewing the media sphere as a space of power in which different ideological discourses compete for dominance</w:t>
      </w:r>
      <w:r w:rsidRPr="00627D4A">
        <w:rPr>
          <w:vertAlign w:val="superscript"/>
        </w:rPr>
        <w:t>16</w:t>
      </w:r>
      <w:r w:rsidRPr="00627D4A">
        <w:t>. In this context, the failure to report on the achievements and sporting careers of women constitutes a use of the media to reinforce the notion that sport is not a space for them</w:t>
      </w:r>
      <w:r w:rsidRPr="00627D4A">
        <w:rPr>
          <w:vertAlign w:val="superscript"/>
        </w:rPr>
        <w:t>29</w:t>
      </w:r>
      <w:r w:rsidRPr="00627D4A">
        <w:t>. This contributes to the preservation of hierarchical power structures that centre on male dominance and visibility</w:t>
      </w:r>
      <w:r w:rsidRPr="00627D4A">
        <w:rPr>
          <w:vertAlign w:val="superscript"/>
        </w:rPr>
        <w:t>6</w:t>
      </w:r>
      <w:r w:rsidRPr="00627D4A">
        <w:t>.</w:t>
      </w:r>
    </w:p>
    <w:p w14:paraId="2EF83C57" w14:textId="71E8562E" w:rsidR="005A6581" w:rsidRPr="00627D4A" w:rsidRDefault="0064432F">
      <w:pPr>
        <w:ind w:firstLine="720"/>
        <w:jc w:val="both"/>
      </w:pPr>
      <w:r w:rsidRPr="00627D4A">
        <w:t>The analysis of front-page photographs is particularly significant due to their importance in the representation and visibility of the sporting world. In media coverage of sport, images often carry greater symbolic weight than text</w:t>
      </w:r>
      <w:r w:rsidRPr="00627D4A">
        <w:rPr>
          <w:vertAlign w:val="superscript"/>
        </w:rPr>
        <w:t>29</w:t>
      </w:r>
      <w:r w:rsidRPr="00627D4A">
        <w:t xml:space="preserve">. In this regard, it is noteworthy that 32% (n=9) of the headlines related to women’s sport were not accompanied by images. While this may appear to be a minor issue, a closer examination reveals a more serious concern when considering images in which female athletes appear alongside men, or photographs linked to women’s sport but featuring male figures. In other words, in 7 out of 10 images associated with headlines on women’s sport, men are present. This situation illustrates how the newspapers analysed continue to </w:t>
      </w:r>
      <w:r w:rsidR="00B840CD" w:rsidRPr="00627D4A">
        <w:t>marginalize and downplay the role of female athletes</w:t>
      </w:r>
      <w:r w:rsidRPr="00627D4A">
        <w:t>. The evocative power of images, particularly on front pages, does not appear to be a valued resource when it comes to women’s sport. This may be explained by several possible factors: (</w:t>
      </w:r>
      <w:proofErr w:type="spellStart"/>
      <w:r w:rsidRPr="00627D4A">
        <w:t>i</w:t>
      </w:r>
      <w:proofErr w:type="spellEnd"/>
      <w:r w:rsidRPr="00627D4A">
        <w:t>) as secondary headlines, they are not allocated space for imagery; (ii) sports newspaper front pages prioritise images of men’s sport; and (iii) the media has reduced the sexualised portrayal of female athletes, which may limit the use of women’s images on front pages now that they no longer serve the function of attracting a male audience.</w:t>
      </w:r>
    </w:p>
    <w:p w14:paraId="042FB43E" w14:textId="036A0029" w:rsidR="005A6581" w:rsidRPr="00627D4A" w:rsidRDefault="0064432F">
      <w:pPr>
        <w:ind w:firstLine="720"/>
        <w:jc w:val="both"/>
      </w:pPr>
      <w:r w:rsidRPr="00627D4A">
        <w:t>Continuing with the analysis, the images of female athletes examined in this study stand out for their pronounced emotional focus, which was present in 53% of cases. This type of representation is particularly common in the photographs selected for front pages when covering women’s</w:t>
      </w:r>
      <w:r w:rsidRPr="004351F2">
        <w:t xml:space="preserve"> sport. This pattern is consistent with the findings of Guerrero Salazar</w:t>
      </w:r>
      <w:r w:rsidRPr="004351F2">
        <w:rPr>
          <w:vertAlign w:val="superscript"/>
        </w:rPr>
        <w:t>14</w:t>
      </w:r>
      <w:r w:rsidRPr="004351F2">
        <w:t xml:space="preserve">, who points out that when female athletes are shown in close-up, the emphasis is placed on their emotional reactions, most often associated with vulnerability, sadness or overwhelming euphoria. It is important to reflect on the lack of emotional </w:t>
      </w:r>
      <w:r w:rsidRPr="00627D4A">
        <w:t xml:space="preserve">balance portrayed in these images. In some cases, the athletes appear dejected or anxious, while in others they are depicted as excessively joyful. This may be linked to gender stereotypes that </w:t>
      </w:r>
      <w:r w:rsidR="00B840CD" w:rsidRPr="00627D4A">
        <w:t xml:space="preserve">persistently </w:t>
      </w:r>
      <w:r w:rsidRPr="00627D4A">
        <w:t>associate women with supposed emotional instability, a perception that is not applied to men, despite the fact that they are more frequently involved in episodes of anger, aggression, and physical violence, both in their roles as athletes and as spectators.</w:t>
      </w:r>
    </w:p>
    <w:p w14:paraId="352271CF" w14:textId="5934EA7B" w:rsidR="005A6581" w:rsidRPr="00627D4A" w:rsidRDefault="0064432F">
      <w:pPr>
        <w:ind w:firstLine="720"/>
        <w:jc w:val="both"/>
      </w:pPr>
      <w:r w:rsidRPr="00627D4A">
        <w:t>The sensationalist approach is another prominent element in the sample analysed. Headlines and images often reveal details of female athletes’ private lives, as well as dramatic moments and scenes of distress, in which the focus is placed on the woman’s anguished facial expression. Considering that the nature of a news item plays an important role in shaping public opinion, sensationalist headlines appeal to emotion and do not contribute to the critical development of audiences</w:t>
      </w:r>
      <w:r w:rsidRPr="00627D4A">
        <w:rPr>
          <w:vertAlign w:val="superscript"/>
        </w:rPr>
        <w:t>30</w:t>
      </w:r>
      <w:r w:rsidRPr="00627D4A">
        <w:t>. In the case of the front pages analysed, no headlines were found that employed sexual connotations as a strategy to attract readers</w:t>
      </w:r>
      <w:r w:rsidRPr="00627D4A">
        <w:rPr>
          <w:vertAlign w:val="superscript"/>
        </w:rPr>
        <w:t>31</w:t>
      </w:r>
      <w:r w:rsidRPr="00627D4A">
        <w:t xml:space="preserve">, but the sensationalist framing was clearly present. One example is the coverage of the trial against Luis Rubiales for </w:t>
      </w:r>
      <w:r w:rsidRPr="00627D4A">
        <w:lastRenderedPageBreak/>
        <w:t>sexual assault. The case occupied a considerable portion of the headlines, structured in such a way that the focus remained on Rubiales, while the portrayal of Jennifer Hermoso tended to construct an image of the athlete associated with emotions linked to vulnerability. In this regard, it can be argued that sports media coverage adopted features characteristic of sexist discourse</w:t>
      </w:r>
      <w:r w:rsidRPr="00627D4A">
        <w:rPr>
          <w:vertAlign w:val="superscript"/>
        </w:rPr>
        <w:t>32</w:t>
      </w:r>
      <w:r w:rsidRPr="00627D4A">
        <w:t>, marked by a superficial tone, limited informative content</w:t>
      </w:r>
      <w:r w:rsidR="0062107A" w:rsidRPr="00627D4A">
        <w:t>,</w:t>
      </w:r>
      <w:r w:rsidRPr="00627D4A">
        <w:t xml:space="preserve"> and a lack of the seriousness </w:t>
      </w:r>
      <w:r w:rsidR="00B840CD" w:rsidRPr="00627D4A">
        <w:t xml:space="preserve">and sensitivity </w:t>
      </w:r>
      <w:r w:rsidRPr="00627D4A">
        <w:t>that the issue demanded.</w:t>
      </w:r>
    </w:p>
    <w:p w14:paraId="0574F063" w14:textId="77777777" w:rsidR="005A6581" w:rsidRPr="00627D4A" w:rsidRDefault="0064432F">
      <w:pPr>
        <w:ind w:firstLine="720"/>
        <w:jc w:val="both"/>
      </w:pPr>
      <w:r w:rsidRPr="00627D4A">
        <w:t>The results of this study also reveal the exclusion of female athletes and women’s sport through the analysis of front pages. Of the 60 front pages examined, only two featured a woman as the main subject in the lead headline. These representations are not neutral; rather, they function as mechanisms of symbolic control that determine who is allowed to be part of the social imaginary in the sporting sphere and under what conditions. This raises another important question. If one of the functions of the media is to inform society about historical, sociocultural, political and sporting events</w:t>
      </w:r>
      <w:r w:rsidRPr="00627D4A">
        <w:rPr>
          <w:vertAlign w:val="superscript"/>
        </w:rPr>
        <w:t>8</w:t>
      </w:r>
      <w:r w:rsidRPr="00627D4A">
        <w:t>, why is the reality of female athletes and women’s sport not represented?</w:t>
      </w:r>
    </w:p>
    <w:p w14:paraId="7236C5CD" w14:textId="1AE89FA2" w:rsidR="005A6581" w:rsidRPr="004351F2" w:rsidRDefault="0064432F">
      <w:pPr>
        <w:ind w:firstLine="720"/>
        <w:jc w:val="both"/>
      </w:pPr>
      <w:r w:rsidRPr="00627D4A">
        <w:t xml:space="preserve">Given that both sport and the media are masculinised and androcentric spaces, women may be represented through three main approaches. The first is the </w:t>
      </w:r>
      <w:r w:rsidRPr="00627D4A">
        <w:rPr>
          <w:i/>
        </w:rPr>
        <w:t>exclusionary approach</w:t>
      </w:r>
      <w:r w:rsidRPr="00627D4A">
        <w:t>, in which female athletes, far from being regarded as equals, are relegated to irrelevance by men, rendered invisible or infantilised, and perceived as insignificant</w:t>
      </w:r>
      <w:r w:rsidR="0062107A" w:rsidRPr="00627D4A">
        <w:t>, irrelevant,</w:t>
      </w:r>
      <w:r w:rsidRPr="00627D4A">
        <w:t xml:space="preserve"> or immature. Although no direct violence is exerted, symbolic violence is evident through the lack of recognition. The second perspective is the </w:t>
      </w:r>
      <w:r w:rsidRPr="00627D4A">
        <w:rPr>
          <w:i/>
        </w:rPr>
        <w:t>hostile approach</w:t>
      </w:r>
      <w:r w:rsidRPr="00627D4A">
        <w:t>. Highly successful female athletes are seen as a threat to male dominance</w:t>
      </w:r>
      <w:r w:rsidRPr="00627D4A">
        <w:rPr>
          <w:vertAlign w:val="superscript"/>
        </w:rPr>
        <w:t>12</w:t>
      </w:r>
      <w:r w:rsidRPr="00627D4A">
        <w:t xml:space="preserve">. Media coverage that portrays female athletes as brave, strong, resilient, determined and relevant is interpreted, from a male-centred perspective, as a loss of power, particularly in a context as competitive as sport. As a result, women are featured in fewer photographs, which tend to be smaller and of lower quality, and are often accompanied by reductive or stereotypical narratives. The third is the </w:t>
      </w:r>
      <w:r w:rsidRPr="00627D4A">
        <w:rPr>
          <w:i/>
        </w:rPr>
        <w:t>accommodating approach</w:t>
      </w:r>
      <w:r w:rsidRPr="00627D4A">
        <w:t>, in which the presence of women in sporting spaces is accepted, but only in roles traditionally considered appropriate for them, that is, performing actions for the enjoyment of men. In this sense, they may appear as guests</w:t>
      </w:r>
      <w:r w:rsidRPr="00627D4A">
        <w:rPr>
          <w:vertAlign w:val="superscript"/>
        </w:rPr>
        <w:t>18</w:t>
      </w:r>
      <w:r w:rsidRPr="00627D4A">
        <w:t xml:space="preserve"> or as sexual objects</w:t>
      </w:r>
      <w:r w:rsidRPr="00627D4A">
        <w:rPr>
          <w:vertAlign w:val="superscript"/>
        </w:rPr>
        <w:t>13</w:t>
      </w:r>
      <w:r w:rsidRPr="00627D4A">
        <w:t>. While this latter strategy</w:t>
      </w:r>
      <w:r w:rsidRPr="004351F2">
        <w:t xml:space="preserve"> appears to be declining</w:t>
      </w:r>
      <w:r w:rsidRPr="004351F2">
        <w:rPr>
          <w:vertAlign w:val="superscript"/>
        </w:rPr>
        <w:t>33</w:t>
      </w:r>
      <w:r w:rsidRPr="004351F2">
        <w:t>, it remains necessary to remain alert in order to detect whether it is taking new and subtler forms of violence.</w:t>
      </w:r>
    </w:p>
    <w:p w14:paraId="3A4F4062" w14:textId="77777777" w:rsidR="005A6581" w:rsidRPr="004351F2" w:rsidRDefault="005A6581">
      <w:pPr>
        <w:widowControl w:val="0"/>
        <w:ind w:firstLine="708"/>
        <w:jc w:val="both"/>
        <w:rPr>
          <w:i/>
        </w:rPr>
      </w:pPr>
    </w:p>
    <w:p w14:paraId="0D65D3A2" w14:textId="77777777" w:rsidR="005A6581" w:rsidRDefault="0064432F">
      <w:pPr>
        <w:widowControl w:val="0"/>
        <w:ind w:firstLine="708"/>
        <w:jc w:val="both"/>
        <w:rPr>
          <w:i/>
          <w:highlight w:val="white"/>
        </w:rPr>
      </w:pPr>
      <w:r>
        <w:rPr>
          <w:i/>
          <w:highlight w:val="white"/>
        </w:rPr>
        <w:t>Feminist media literacy: tools for resistance</w:t>
      </w:r>
    </w:p>
    <w:p w14:paraId="162F64BB" w14:textId="77777777" w:rsidR="005A6581" w:rsidRPr="004E4B93" w:rsidRDefault="0064432F">
      <w:pPr>
        <w:widowControl w:val="0"/>
        <w:ind w:firstLine="720"/>
        <w:jc w:val="both"/>
      </w:pPr>
      <w:r>
        <w:t xml:space="preserve">In light of the findings of this study and previous research, it is argued that sports media outlets such as </w:t>
      </w:r>
      <w:r>
        <w:rPr>
          <w:i/>
        </w:rPr>
        <w:t>Marca</w:t>
      </w:r>
      <w:r>
        <w:t xml:space="preserve"> and </w:t>
      </w:r>
      <w:r>
        <w:rPr>
          <w:i/>
        </w:rPr>
        <w:t>AS</w:t>
      </w:r>
      <w:r>
        <w:t xml:space="preserve"> contribute to the cultural impoverishment of society, particularly for women and girls. The lack of regular and consistent coverage of female athletes and women’s sport in the media renders these </w:t>
      </w:r>
      <w:r w:rsidRPr="004E4B93">
        <w:t>outlets responsible for the limited public knowledge of sporting culture, in this case within Spanish society. Moreover, the discriminatory treatment that female athletes frequently receive conveys the image of the media as a system of power that weakens democracy by sustaining gender hierarchies and norms. As social actors with the capacity to influence, the media cannot avoid responsibility for these dynamics</w:t>
      </w:r>
      <w:r w:rsidRPr="004E4B93">
        <w:rPr>
          <w:vertAlign w:val="superscript"/>
        </w:rPr>
        <w:t>8,21</w:t>
      </w:r>
      <w:r w:rsidRPr="004E4B93">
        <w:t>. At present, the absence of real change in the media representation of women cannot be attributed to ignorance. In Spain, there are different laws</w:t>
      </w:r>
      <w:r w:rsidRPr="004E4B93">
        <w:rPr>
          <w:vertAlign w:val="superscript"/>
        </w:rPr>
        <w:t xml:space="preserve">34,35 </w:t>
      </w:r>
      <w:r w:rsidRPr="004E4B93">
        <w:t>that ensure an equal and non-discriminatory audiovisual communication of women and that do not favour, directly or indirectly, situations of discrimination. Therefore, the persistence of the media in maintaining a biased representation of women’s sport and female athletes seems to be more closely related to a deliberate approach that responds to interests and power structures, which calls for a critical and active stance from all citizens.</w:t>
      </w:r>
    </w:p>
    <w:p w14:paraId="33380E62" w14:textId="77777777" w:rsidR="005A6581" w:rsidRPr="004E4B93" w:rsidRDefault="0064432F">
      <w:pPr>
        <w:widowControl w:val="0"/>
        <w:ind w:firstLine="720"/>
        <w:jc w:val="both"/>
      </w:pPr>
      <w:r w:rsidRPr="004E4B93">
        <w:t>These biased representations not only contribute to the cultural impoverishment of society but also have a direct impact on ide</w:t>
      </w:r>
      <w:r>
        <w:t xml:space="preserve">ntity </w:t>
      </w:r>
      <w:r w:rsidRPr="004E4B93">
        <w:t xml:space="preserve">formation and the life trajectories of girls and adolescents. The lack of recognition for women’s sport and female athletes affects young </w:t>
      </w:r>
      <w:r w:rsidRPr="004E4B93">
        <w:lastRenderedPageBreak/>
        <w:t>women’s self-esteem in multiple ways. On the one hand, they lack visible role models, especially in comparison to their male peers</w:t>
      </w:r>
      <w:r w:rsidRPr="004E4B93">
        <w:rPr>
          <w:vertAlign w:val="superscript"/>
        </w:rPr>
        <w:t>22</w:t>
      </w:r>
      <w:r w:rsidRPr="004E4B93">
        <w:t>. Moreover, they internalise the idea that sport is a male domain, which increases the likelihood that they will abandon participation in sport</w:t>
      </w:r>
      <w:r w:rsidRPr="004E4B93">
        <w:rPr>
          <w:vertAlign w:val="superscript"/>
        </w:rPr>
        <w:t>36</w:t>
      </w:r>
      <w:r w:rsidRPr="004E4B93">
        <w:t>. Finally, they assume secondary roles within sport, identifying more as spectators, hostesses, companions or partners of athletes, commonly referred to as WAGs (wives and girlfriends), rather than as central figures in their own sporting journeys</w:t>
      </w:r>
      <w:r w:rsidRPr="004E4B93">
        <w:rPr>
          <w:vertAlign w:val="superscript"/>
        </w:rPr>
        <w:t>37</w:t>
      </w:r>
      <w:r w:rsidRPr="004E4B93">
        <w:t>.</w:t>
      </w:r>
    </w:p>
    <w:p w14:paraId="088CA524" w14:textId="77777777" w:rsidR="005A6581" w:rsidRPr="004E4B93" w:rsidRDefault="0064432F">
      <w:pPr>
        <w:widowControl w:val="0"/>
        <w:ind w:firstLine="720"/>
        <w:jc w:val="both"/>
      </w:pPr>
      <w:r w:rsidRPr="004E4B93">
        <w:t>The majority-male Physical Education teaching staff also consume this type of media content. Teachers who are not trained in coeducational matters and display little critical awareness are likely to reproduce these biases in playgrounds and gymnasiums through the selection and prioritisation of certain content and the use of biased examples in the classroom</w:t>
      </w:r>
      <w:r w:rsidRPr="004E4B93">
        <w:rPr>
          <w:vertAlign w:val="superscript"/>
        </w:rPr>
        <w:t>38</w:t>
      </w:r>
      <w:r w:rsidRPr="004E4B93">
        <w:t>. The same applies to sports coaches and technical staff who are trained outside the university system, often through programmes that are far from incorporating a gender perspective as a fundamental tool for analysing social reality. These professionals also contribute to the reproduction of sexist models that reinforce the androcentric framework in extracurricular settings such as sports schools and clubs.</w:t>
      </w:r>
    </w:p>
    <w:p w14:paraId="16A7F9E6" w14:textId="77777777" w:rsidR="005A6581" w:rsidRPr="004E4B93" w:rsidRDefault="0064432F">
      <w:pPr>
        <w:widowControl w:val="0"/>
        <w:ind w:firstLine="720"/>
        <w:jc w:val="both"/>
      </w:pPr>
      <w:r w:rsidRPr="004E4B93">
        <w:t xml:space="preserve">This exclusionary perspective view of the sports press also permeates curricular materials, reproducing and legitimising the symbolic exclusion of women from the sporting sphere. The logic of </w:t>
      </w:r>
      <w:proofErr w:type="spellStart"/>
      <w:r w:rsidRPr="004E4B93">
        <w:t>invisibilisation</w:t>
      </w:r>
      <w:proofErr w:type="spellEnd"/>
      <w:r w:rsidRPr="004E4B93">
        <w:t xml:space="preserve"> is reflected in Physical Education textbooks in Spain, where the male body continues to be the hegemonic model of representation, while women appear in subordinate roles or are entirely absent. Specifically, the images reinforce sexist and exclusionary stereotypes. Young, white, non-disabled males are shown engaging in competitive and high-performance outdoor sports, while women are depicted in non-competitive activities, associated with bodily care and confined to indoor spaces</w:t>
      </w:r>
      <w:r w:rsidRPr="004E4B93">
        <w:rPr>
          <w:vertAlign w:val="superscript"/>
        </w:rPr>
        <w:t>24,23</w:t>
      </w:r>
      <w:r w:rsidRPr="004E4B93">
        <w:t>.</w:t>
      </w:r>
    </w:p>
    <w:p w14:paraId="452A9949" w14:textId="3D90486E" w:rsidR="005A6581" w:rsidRPr="00627D4A" w:rsidRDefault="0064432F">
      <w:pPr>
        <w:widowControl w:val="0"/>
        <w:ind w:firstLine="720"/>
        <w:jc w:val="both"/>
      </w:pPr>
      <w:bookmarkStart w:id="2" w:name="_heading=h.siibe03xlc16" w:colFirst="0" w:colLast="0"/>
      <w:bookmarkEnd w:id="2"/>
      <w:r w:rsidRPr="004E4B93">
        <w:t>Finally, the supremacist approaches that sports media adopt towards men’s sport are also visible in playgrounds and during break times in spontaneous ways. The most skilled boys, particularly in football, tend to occupy the central and largest areas, relegating the rest of the pupils to the margins</w:t>
      </w:r>
      <w:r w:rsidRPr="004E4B93">
        <w:rPr>
          <w:vertAlign w:val="superscript"/>
        </w:rPr>
        <w:t>39</w:t>
      </w:r>
      <w:r w:rsidRPr="004E4B93">
        <w:t xml:space="preserve">. This mainly affects girls, but also many boys and pupils with disabilities, who learn to position themselves on the periphery, while a small group of boys monopolises </w:t>
      </w:r>
      <w:r w:rsidRPr="00627D4A">
        <w:t xml:space="preserve">the space and the attention day after day. These dynamics, which clearly reflect the social inequalities that exist outside schools, are replicated within educational contexts, legitimising power relations that have a strong symbolic impact, as well as real consequences, for girls, </w:t>
      </w:r>
      <w:r w:rsidR="00C14360" w:rsidRPr="00627D4A">
        <w:t>adolescent</w:t>
      </w:r>
      <w:r w:rsidR="0062107A" w:rsidRPr="00627D4A">
        <w:t xml:space="preserve"> girls</w:t>
      </w:r>
      <w:r w:rsidRPr="00627D4A">
        <w:t xml:space="preserve"> and </w:t>
      </w:r>
      <w:r w:rsidR="00C14360" w:rsidRPr="00627D4A">
        <w:t>minorities</w:t>
      </w:r>
      <w:r w:rsidRPr="00627D4A">
        <w:t>.</w:t>
      </w:r>
    </w:p>
    <w:p w14:paraId="0E477039" w14:textId="4459316A" w:rsidR="005A6581" w:rsidRPr="00627D4A" w:rsidRDefault="0064432F">
      <w:pPr>
        <w:widowControl w:val="0"/>
        <w:ind w:firstLine="720"/>
        <w:jc w:val="both"/>
      </w:pPr>
      <w:r w:rsidRPr="00627D4A">
        <w:t>Despite this, few subjects, such as Physical Education, have the potential to create spaces for reflection and action where pupils can acquire tools to understand and critically analyse media narratives related to women’s sport and its protagonists. Achieving this requires knowing how to select and interpret the messages produced by the media</w:t>
      </w:r>
      <w:r w:rsidRPr="00627D4A">
        <w:rPr>
          <w:vertAlign w:val="superscript"/>
        </w:rPr>
        <w:t>40</w:t>
      </w:r>
      <w:r w:rsidRPr="00627D4A">
        <w:t xml:space="preserve">. This competency is particularly important for the empowerment of girls and adolescents. Learning about the history of women’s struggles and rights victories in the sporting world not only enables them to see themselves as active agents in the </w:t>
      </w:r>
      <w:r w:rsidR="009A6AD8" w:rsidRPr="00627D4A">
        <w:t>process but</w:t>
      </w:r>
      <w:r w:rsidRPr="00627D4A">
        <w:t xml:space="preserve"> also strengthens their self-esteem by connecting them with the genealogy of women and with the history of their social group.</w:t>
      </w:r>
    </w:p>
    <w:p w14:paraId="65A8E0FE" w14:textId="77777777" w:rsidR="005A6581" w:rsidRDefault="0064432F">
      <w:pPr>
        <w:widowControl w:val="0"/>
        <w:ind w:firstLine="720"/>
        <w:jc w:val="both"/>
      </w:pPr>
      <w:r w:rsidRPr="00627D4A">
        <w:t>There are some experiences concerning the effect of educational interventions aimed at improving students’ knowledge of female athletes. These studies show that, after attending a dedicated workshop on female role models, both girls and boys improve their cultural awareness of women’s</w:t>
      </w:r>
      <w:r w:rsidRPr="004E4B93">
        <w:t xml:space="preserve"> sport</w:t>
      </w:r>
      <w:r w:rsidRPr="004E4B93">
        <w:rPr>
          <w:vertAlign w:val="superscript"/>
        </w:rPr>
        <w:t>41</w:t>
      </w:r>
      <w:r w:rsidRPr="004E4B93">
        <w:t>. However, there is still a lack of research exploring the relationship between media and information literacy and the field of Sport Sciences</w:t>
      </w:r>
      <w:r w:rsidRPr="004E4B93">
        <w:rPr>
          <w:vertAlign w:val="superscript"/>
        </w:rPr>
        <w:t>25</w:t>
      </w:r>
      <w:r w:rsidRPr="004E4B93">
        <w:t>, despite repeated recommendations that future studies should give greater attention to this area. This lack of focus contrasts with the significant role that sports information plays for audiences</w:t>
      </w:r>
      <w:r w:rsidRPr="004E4B93">
        <w:rPr>
          <w:vertAlign w:val="superscript"/>
        </w:rPr>
        <w:t>42</w:t>
      </w:r>
      <w:r w:rsidRPr="004E4B93">
        <w:t>, the growing influence of social media influencers on physical activity and sport</w:t>
      </w:r>
      <w:r w:rsidRPr="004E4B93">
        <w:rPr>
          <w:vertAlign w:val="superscript"/>
        </w:rPr>
        <w:t>43</w:t>
      </w:r>
      <w:r w:rsidRPr="004E4B93">
        <w:t xml:space="preserve">, and the increase in student engagement in Physical Education classes when digital technologies are </w:t>
      </w:r>
      <w:r w:rsidRPr="004E4B93">
        <w:lastRenderedPageBreak/>
        <w:t>used to design learning activities</w:t>
      </w:r>
      <w:r w:rsidRPr="004E4B93">
        <w:rPr>
          <w:vertAlign w:val="superscript"/>
        </w:rPr>
        <w:t>44</w:t>
      </w:r>
      <w:r w:rsidRPr="004E4B93">
        <w:t>. In the field of journalism</w:t>
      </w:r>
      <w:r w:rsidRPr="004E4B93">
        <w:rPr>
          <w:vertAlign w:val="superscript"/>
        </w:rPr>
        <w:t>45</w:t>
      </w:r>
      <w:r w:rsidRPr="004E4B93">
        <w:t>, coined the term "media coeducation" as a necessary strategy for achieving equality in media content production. From our perspective, it is also essential to train pupils in feminist media literacy, which, in the long term, can enable them to develop a critical view of the misogynistic narratives found in sports journalism. This type of training helps to shape a reflective citizenry capable of selecting content that upholds the principle of equality between women and men, including within the field of sport.</w:t>
      </w:r>
    </w:p>
    <w:p w14:paraId="390CC681" w14:textId="77777777" w:rsidR="00627D4A" w:rsidRPr="004E4B93" w:rsidRDefault="00627D4A">
      <w:pPr>
        <w:widowControl w:val="0"/>
        <w:ind w:firstLine="720"/>
        <w:jc w:val="both"/>
      </w:pPr>
    </w:p>
    <w:p w14:paraId="1ACC6983" w14:textId="77777777" w:rsidR="005A6581" w:rsidRDefault="0064432F" w:rsidP="00627D4A">
      <w:pPr>
        <w:ind w:firstLine="720"/>
        <w:jc w:val="both"/>
        <w:rPr>
          <w:b/>
        </w:rPr>
      </w:pPr>
      <w:r w:rsidRPr="004E4B93">
        <w:rPr>
          <w:b/>
        </w:rPr>
        <w:t>Conclusions</w:t>
      </w:r>
    </w:p>
    <w:p w14:paraId="55E49C83" w14:textId="77777777" w:rsidR="00627D4A" w:rsidRPr="004E4B93" w:rsidRDefault="00627D4A" w:rsidP="00627D4A">
      <w:pPr>
        <w:ind w:firstLine="720"/>
        <w:jc w:val="both"/>
        <w:rPr>
          <w:b/>
        </w:rPr>
      </w:pPr>
    </w:p>
    <w:p w14:paraId="2EF87605" w14:textId="77777777" w:rsidR="005A6581" w:rsidRPr="004E4B93" w:rsidRDefault="0064432F" w:rsidP="00627D4A">
      <w:pPr>
        <w:ind w:firstLine="720"/>
        <w:jc w:val="both"/>
      </w:pPr>
      <w:r w:rsidRPr="004E4B93">
        <w:t>The representation of women’s sport and female athletes on the front pages of Spain’s leading sports newspapers continues to be characterised by invisibility and the reinforcement of gender stereotypes. The lower valuation of women’s sport and female athletes is evident both in their limited presence and in the use of discursive and visual strategies that perpetuate their subordination to male dominance. Among the forms of violence associated with the media coverage of women’s sport, the lack of value attributed to female athletes stands out. This devaluation is evident both in their limited visibility and in the use of discursive and visual strategies that reinforce their subordination to male dominance in the sporting narrative.</w:t>
      </w:r>
    </w:p>
    <w:p w14:paraId="0CD476D6" w14:textId="77777777" w:rsidR="005A6581" w:rsidRPr="004E4B93" w:rsidRDefault="0064432F">
      <w:pPr>
        <w:ind w:firstLine="720"/>
        <w:jc w:val="both"/>
      </w:pPr>
      <w:r w:rsidRPr="004E4B93">
        <w:t xml:space="preserve">Despite the progress of feminism in formally egalitarian societies, sports media still show clear resistance to equality. The presence of women on front pages remains exceptional and, in most cases, is linked to specific achievements such as winning medals or team titles. This reinforces the idea that their successes are the result of chance rather than the outcome of a professional career grounded in perseverance, effort and dedication. </w:t>
      </w:r>
    </w:p>
    <w:p w14:paraId="4DDF9B20" w14:textId="5D8A768D" w:rsidR="005A6581" w:rsidRPr="00627D4A" w:rsidRDefault="0064432F">
      <w:pPr>
        <w:ind w:firstLine="720"/>
        <w:jc w:val="both"/>
      </w:pPr>
      <w:r w:rsidRPr="004E4B93">
        <w:t xml:space="preserve">The social impact of these sexist practices extends into the educational sphere, where both teachers and pupils internalise and </w:t>
      </w:r>
      <w:r w:rsidRPr="00627D4A">
        <w:t xml:space="preserve">reproduce inequality in sport through their formal (curricular) and informal (recreational) practices within the school environment. In this context, it is essential to promote </w:t>
      </w:r>
      <w:r w:rsidRPr="00627D4A">
        <w:rPr>
          <w:i/>
        </w:rPr>
        <w:t>feminist media literacy</w:t>
      </w:r>
      <w:r w:rsidRPr="00627D4A">
        <w:t xml:space="preserve"> </w:t>
      </w:r>
      <w:r w:rsidR="0062107A" w:rsidRPr="00627D4A">
        <w:t xml:space="preserve">both in university-level teacher education and in Physical Education classes, </w:t>
      </w:r>
      <w:r w:rsidRPr="00627D4A">
        <w:t xml:space="preserve">as a key tool for the critical </w:t>
      </w:r>
      <w:r w:rsidR="0062107A" w:rsidRPr="00627D4A">
        <w:t xml:space="preserve">analysis </w:t>
      </w:r>
      <w:r w:rsidRPr="00627D4A">
        <w:t xml:space="preserve">of media discourses and for resisting the multiple forms of symbolic </w:t>
      </w:r>
      <w:r w:rsidR="0062107A" w:rsidRPr="00627D4A">
        <w:t xml:space="preserve">violence </w:t>
      </w:r>
      <w:r w:rsidRPr="00627D4A">
        <w:t xml:space="preserve">against women in sport.  </w:t>
      </w:r>
    </w:p>
    <w:p w14:paraId="164EFAFC" w14:textId="77777777" w:rsidR="005A6581" w:rsidRPr="004E4B93" w:rsidRDefault="0064432F">
      <w:pPr>
        <w:ind w:firstLine="720"/>
        <w:jc w:val="both"/>
      </w:pPr>
      <w:bookmarkStart w:id="3" w:name="_heading=h.czu7nul2oult" w:colFirst="0" w:colLast="0"/>
      <w:bookmarkEnd w:id="3"/>
      <w:r w:rsidRPr="00627D4A">
        <w:t xml:space="preserve">Future studies could incorporate decolonial perspectives by exploring how international editions of sports newspapers, such as </w:t>
      </w:r>
      <w:r w:rsidRPr="00627D4A">
        <w:rPr>
          <w:i/>
        </w:rPr>
        <w:t>Marca</w:t>
      </w:r>
      <w:r w:rsidRPr="00627D4A">
        <w:t xml:space="preserve"> in Mexico, reflect and reproduce gender norms in different cultural contexts. This would allow for a broader and more nuanced understanding of the symbolic impact of the media. Likewise, it would be valuable to analyse the constructions of masculinities in sport, examining how narratives about male athletes reinforce or challenge dominant gender norms. Such an approach</w:t>
      </w:r>
      <w:r w:rsidRPr="004E4B93">
        <w:t xml:space="preserve"> would complement the feminist perspective and offer a more comprehensive view of gender roles in sports media.</w:t>
      </w:r>
    </w:p>
    <w:p w14:paraId="6EFF5FA6" w14:textId="77777777" w:rsidR="005A6581" w:rsidRPr="004E4B93" w:rsidRDefault="005A6581">
      <w:pPr>
        <w:ind w:firstLine="720"/>
        <w:jc w:val="both"/>
      </w:pPr>
    </w:p>
    <w:p w14:paraId="560555CB" w14:textId="77777777" w:rsidR="005A6581" w:rsidRPr="004E4B93" w:rsidRDefault="0064432F">
      <w:pPr>
        <w:pBdr>
          <w:top w:val="nil"/>
          <w:left w:val="nil"/>
          <w:bottom w:val="nil"/>
          <w:right w:val="nil"/>
          <w:between w:val="nil"/>
        </w:pBdr>
        <w:rPr>
          <w:b/>
          <w:color w:val="000000"/>
        </w:rPr>
      </w:pPr>
      <w:r w:rsidRPr="004E4B93">
        <w:rPr>
          <w:b/>
          <w:color w:val="000000"/>
        </w:rPr>
        <w:t>References</w:t>
      </w:r>
    </w:p>
    <w:p w14:paraId="25B93B91" w14:textId="77777777" w:rsidR="005A6581" w:rsidRPr="004E4B93" w:rsidRDefault="005A6581">
      <w:pPr>
        <w:pBdr>
          <w:top w:val="nil"/>
          <w:left w:val="nil"/>
          <w:bottom w:val="nil"/>
          <w:right w:val="nil"/>
          <w:between w:val="nil"/>
        </w:pBdr>
        <w:rPr>
          <w:b/>
        </w:rPr>
      </w:pPr>
    </w:p>
    <w:p w14:paraId="4E2EF5F4" w14:textId="77777777" w:rsidR="005A6581" w:rsidRPr="004E4B93" w:rsidRDefault="0064432F">
      <w:pPr>
        <w:numPr>
          <w:ilvl w:val="0"/>
          <w:numId w:val="1"/>
        </w:numPr>
        <w:pBdr>
          <w:top w:val="nil"/>
          <w:left w:val="nil"/>
          <w:bottom w:val="nil"/>
          <w:right w:val="nil"/>
          <w:between w:val="nil"/>
        </w:pBdr>
        <w:rPr>
          <w:color w:val="000000"/>
          <w:sz w:val="20"/>
          <w:szCs w:val="20"/>
        </w:rPr>
      </w:pPr>
      <w:r w:rsidRPr="004E4B93">
        <w:rPr>
          <w:color w:val="000000"/>
          <w:sz w:val="20"/>
          <w:szCs w:val="20"/>
        </w:rPr>
        <w:t xml:space="preserve">Buhler A. Paris 2024 sets milestone as first Olympics to achieve full gender parity [Internet]. NBC Universal; 2024 [cited 2024 Oct 27]. Available from: </w:t>
      </w:r>
      <w:hyperlink r:id="rId12">
        <w:r w:rsidR="005A6581" w:rsidRPr="004E4B93">
          <w:rPr>
            <w:color w:val="0000FF"/>
            <w:sz w:val="20"/>
            <w:szCs w:val="20"/>
            <w:u w:val="single"/>
          </w:rPr>
          <w:t>https://www.nbcolympics.com/news/paris-2024-sets-milestone-first-olympics-achieve-full-gender-parity</w:t>
        </w:r>
      </w:hyperlink>
    </w:p>
    <w:p w14:paraId="7A9E6808"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 xml:space="preserve">Aref V, Setiawan C, </w:t>
      </w:r>
      <w:proofErr w:type="spellStart"/>
      <w:r w:rsidRPr="004E4B93">
        <w:rPr>
          <w:color w:val="000000"/>
          <w:sz w:val="20"/>
          <w:szCs w:val="20"/>
        </w:rPr>
        <w:t>Ngatman</w:t>
      </w:r>
      <w:proofErr w:type="spellEnd"/>
      <w:r w:rsidRPr="004E4B93">
        <w:rPr>
          <w:color w:val="000000"/>
          <w:sz w:val="20"/>
          <w:szCs w:val="20"/>
        </w:rPr>
        <w:t xml:space="preserve">, </w:t>
      </w:r>
      <w:proofErr w:type="spellStart"/>
      <w:r w:rsidRPr="004E4B93">
        <w:rPr>
          <w:color w:val="000000"/>
          <w:sz w:val="20"/>
          <w:szCs w:val="20"/>
        </w:rPr>
        <w:t>Lardika</w:t>
      </w:r>
      <w:proofErr w:type="spellEnd"/>
      <w:r w:rsidRPr="004E4B93">
        <w:rPr>
          <w:color w:val="000000"/>
          <w:sz w:val="20"/>
          <w:szCs w:val="20"/>
        </w:rPr>
        <w:t xml:space="preserve"> RA, </w:t>
      </w:r>
      <w:proofErr w:type="spellStart"/>
      <w:r w:rsidRPr="004E4B93">
        <w:rPr>
          <w:color w:val="000000"/>
          <w:sz w:val="20"/>
          <w:szCs w:val="20"/>
        </w:rPr>
        <w:t>Noviana</w:t>
      </w:r>
      <w:proofErr w:type="spellEnd"/>
      <w:r w:rsidRPr="004E4B93">
        <w:rPr>
          <w:color w:val="000000"/>
          <w:sz w:val="20"/>
          <w:szCs w:val="20"/>
        </w:rPr>
        <w:t xml:space="preserve"> E, Yusuf J, et al. Analysis of the representation of female athletes in sports media: a systematic literature review. </w:t>
      </w:r>
      <w:proofErr w:type="spellStart"/>
      <w:r w:rsidRPr="004E4B93">
        <w:rPr>
          <w:color w:val="000000"/>
          <w:sz w:val="20"/>
          <w:szCs w:val="20"/>
        </w:rPr>
        <w:t>Retos</w:t>
      </w:r>
      <w:proofErr w:type="spellEnd"/>
      <w:r w:rsidRPr="004E4B93">
        <w:rPr>
          <w:color w:val="000000"/>
          <w:sz w:val="20"/>
          <w:szCs w:val="20"/>
        </w:rPr>
        <w:t xml:space="preserve">. </w:t>
      </w:r>
      <w:proofErr w:type="gramStart"/>
      <w:r w:rsidRPr="004E4B93">
        <w:rPr>
          <w:color w:val="000000"/>
          <w:sz w:val="20"/>
          <w:szCs w:val="20"/>
        </w:rPr>
        <w:t>2025;63:918</w:t>
      </w:r>
      <w:proofErr w:type="gramEnd"/>
      <w:r w:rsidRPr="004E4B93">
        <w:rPr>
          <w:color w:val="000000"/>
          <w:sz w:val="20"/>
          <w:szCs w:val="20"/>
        </w:rPr>
        <w:t>–27. DOI:</w:t>
      </w:r>
      <w:r w:rsidRPr="004E4B93">
        <w:rPr>
          <w:color w:val="000000"/>
        </w:rPr>
        <w:t xml:space="preserve"> </w:t>
      </w:r>
      <w:hyperlink r:id="rId13">
        <w:r w:rsidR="005A6581" w:rsidRPr="004E4B93">
          <w:rPr>
            <w:color w:val="1155CC"/>
            <w:sz w:val="20"/>
            <w:szCs w:val="20"/>
            <w:u w:val="single"/>
          </w:rPr>
          <w:t>https://doi.org/10.47197/retos.v63.109449</w:t>
        </w:r>
      </w:hyperlink>
    </w:p>
    <w:p w14:paraId="2A09E54E"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proofErr w:type="spellStart"/>
      <w:r w:rsidRPr="00627D4A">
        <w:rPr>
          <w:color w:val="000000"/>
          <w:sz w:val="20"/>
          <w:szCs w:val="20"/>
          <w:lang w:val="pt-BR"/>
        </w:rPr>
        <w:t>Desviyanti</w:t>
      </w:r>
      <w:proofErr w:type="spellEnd"/>
      <w:r w:rsidRPr="00627D4A">
        <w:rPr>
          <w:color w:val="000000"/>
          <w:sz w:val="20"/>
          <w:szCs w:val="20"/>
          <w:lang w:val="pt-BR"/>
        </w:rPr>
        <w:t xml:space="preserve"> E, Vai A, </w:t>
      </w:r>
      <w:proofErr w:type="spellStart"/>
      <w:r w:rsidRPr="00627D4A">
        <w:rPr>
          <w:color w:val="000000"/>
          <w:sz w:val="20"/>
          <w:szCs w:val="20"/>
          <w:lang w:val="pt-BR"/>
        </w:rPr>
        <w:t>Rahmatullah</w:t>
      </w:r>
      <w:proofErr w:type="spellEnd"/>
      <w:r w:rsidRPr="00627D4A">
        <w:rPr>
          <w:color w:val="000000"/>
          <w:sz w:val="20"/>
          <w:szCs w:val="20"/>
          <w:lang w:val="pt-BR"/>
        </w:rPr>
        <w:t xml:space="preserve"> MI. </w:t>
      </w:r>
      <w:r w:rsidRPr="004E4B93">
        <w:rPr>
          <w:color w:val="000000"/>
          <w:sz w:val="20"/>
          <w:szCs w:val="20"/>
        </w:rPr>
        <w:t xml:space="preserve">A literature review of women’s sports in social dynamics: Foucault’s genealogy. J Phys </w:t>
      </w:r>
      <w:proofErr w:type="spellStart"/>
      <w:r w:rsidRPr="004E4B93">
        <w:rPr>
          <w:color w:val="000000"/>
          <w:sz w:val="20"/>
          <w:szCs w:val="20"/>
        </w:rPr>
        <w:t>Educ</w:t>
      </w:r>
      <w:proofErr w:type="spellEnd"/>
      <w:r w:rsidRPr="004E4B93">
        <w:rPr>
          <w:color w:val="000000"/>
          <w:sz w:val="20"/>
          <w:szCs w:val="20"/>
        </w:rPr>
        <w:t xml:space="preserve"> Health Sport. 2023;10(1):10–5. DOI:</w:t>
      </w:r>
      <w:r w:rsidRPr="004E4B93">
        <w:rPr>
          <w:color w:val="000000"/>
        </w:rPr>
        <w:t xml:space="preserve"> </w:t>
      </w:r>
      <w:hyperlink r:id="rId14">
        <w:r w:rsidR="005A6581" w:rsidRPr="004E4B93">
          <w:rPr>
            <w:color w:val="1155CC"/>
            <w:sz w:val="20"/>
            <w:szCs w:val="20"/>
            <w:u w:val="single"/>
          </w:rPr>
          <w:t>https://doi.org/10.15294/jpehs.v10i1.44534</w:t>
        </w:r>
      </w:hyperlink>
    </w:p>
    <w:p w14:paraId="58AEB87A"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t xml:space="preserve">Rowe D, Prates-Silva KK. </w:t>
      </w:r>
      <w:r w:rsidRPr="004E4B93">
        <w:rPr>
          <w:color w:val="000000"/>
          <w:sz w:val="20"/>
          <w:szCs w:val="20"/>
        </w:rPr>
        <w:t>Women’s sport and media: a call to critical arms. Feminist Media Stud. 2023;23(2):729–33. DOI:</w:t>
      </w:r>
      <w:r w:rsidRPr="004E4B93">
        <w:rPr>
          <w:color w:val="000000"/>
        </w:rPr>
        <w:t xml:space="preserve"> </w:t>
      </w:r>
      <w:hyperlink r:id="rId15">
        <w:r w:rsidR="005A6581" w:rsidRPr="004E4B93">
          <w:rPr>
            <w:color w:val="1155CC"/>
            <w:sz w:val="20"/>
            <w:szCs w:val="20"/>
            <w:u w:val="single"/>
          </w:rPr>
          <w:t>https://doi.org/10.1080/14680777.2023.2201663</w:t>
        </w:r>
      </w:hyperlink>
    </w:p>
    <w:p w14:paraId="41E803AD"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t xml:space="preserve">Bourdieu P. La </w:t>
      </w:r>
      <w:proofErr w:type="spellStart"/>
      <w:r w:rsidRPr="00627D4A">
        <w:rPr>
          <w:color w:val="000000"/>
          <w:sz w:val="20"/>
          <w:szCs w:val="20"/>
          <w:lang w:val="pt-BR"/>
        </w:rPr>
        <w:t>dominación</w:t>
      </w:r>
      <w:proofErr w:type="spellEnd"/>
      <w:r w:rsidRPr="00627D4A">
        <w:rPr>
          <w:color w:val="000000"/>
          <w:sz w:val="20"/>
          <w:szCs w:val="20"/>
          <w:lang w:val="pt-BR"/>
        </w:rPr>
        <w:t xml:space="preserve"> masculina. </w:t>
      </w:r>
      <w:r w:rsidRPr="004E4B93">
        <w:rPr>
          <w:color w:val="000000"/>
          <w:sz w:val="20"/>
          <w:szCs w:val="20"/>
        </w:rPr>
        <w:t xml:space="preserve">Barcelona: </w:t>
      </w:r>
      <w:proofErr w:type="spellStart"/>
      <w:r w:rsidRPr="004E4B93">
        <w:rPr>
          <w:color w:val="000000"/>
          <w:sz w:val="20"/>
          <w:szCs w:val="20"/>
        </w:rPr>
        <w:t>Anagrama</w:t>
      </w:r>
      <w:proofErr w:type="spellEnd"/>
      <w:r w:rsidRPr="004E4B93">
        <w:rPr>
          <w:color w:val="000000"/>
          <w:sz w:val="20"/>
          <w:szCs w:val="20"/>
        </w:rPr>
        <w:t>; 2006.</w:t>
      </w:r>
    </w:p>
    <w:p w14:paraId="7CE1D823"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lastRenderedPageBreak/>
        <w:t>Cooky C, Messner MA, Musto M. “It’s dude time!” A quarter century of excluding women’s sports in televised news and highlight shows. Commun Sport. 2015;3(3):261–87. DOI:</w:t>
      </w:r>
      <w:r w:rsidRPr="004E4B93">
        <w:rPr>
          <w:color w:val="000000"/>
        </w:rPr>
        <w:t xml:space="preserve"> </w:t>
      </w:r>
      <w:hyperlink r:id="rId16">
        <w:r w:rsidR="005A6581" w:rsidRPr="004E4B93">
          <w:rPr>
            <w:color w:val="1155CC"/>
            <w:sz w:val="20"/>
            <w:szCs w:val="20"/>
            <w:u w:val="single"/>
          </w:rPr>
          <w:t>https://doi.org/10.1177/2167479515588761</w:t>
        </w:r>
      </w:hyperlink>
    </w:p>
    <w:p w14:paraId="7F2DC42D"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Wasike B. Jocks versus jockettes: an analysis of the visual portrayal of male and female cover models on sports magazines. Journalism. 2017;1–18. DOI:</w:t>
      </w:r>
      <w:r w:rsidRPr="004E4B93">
        <w:rPr>
          <w:color w:val="000000"/>
        </w:rPr>
        <w:t xml:space="preserve"> </w:t>
      </w:r>
      <w:hyperlink r:id="rId17">
        <w:r w:rsidR="005A6581" w:rsidRPr="004E4B93">
          <w:rPr>
            <w:color w:val="1155CC"/>
            <w:sz w:val="20"/>
            <w:szCs w:val="20"/>
            <w:u w:val="single"/>
          </w:rPr>
          <w:t>https://doi.org/10.1177/1464884917716818</w:t>
        </w:r>
      </w:hyperlink>
    </w:p>
    <w:p w14:paraId="19CBF028"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t>Gómez-</w:t>
      </w:r>
      <w:proofErr w:type="spellStart"/>
      <w:r w:rsidRPr="00627D4A">
        <w:rPr>
          <w:color w:val="000000"/>
          <w:sz w:val="20"/>
          <w:szCs w:val="20"/>
          <w:lang w:val="pt-BR"/>
        </w:rPr>
        <w:t>Colell</w:t>
      </w:r>
      <w:proofErr w:type="spellEnd"/>
      <w:r w:rsidRPr="00627D4A">
        <w:rPr>
          <w:color w:val="000000"/>
          <w:sz w:val="20"/>
          <w:szCs w:val="20"/>
          <w:lang w:val="pt-BR"/>
        </w:rPr>
        <w:t xml:space="preserve"> E, Medina-Bravo P, Ramon X. La presencia </w:t>
      </w:r>
      <w:proofErr w:type="spellStart"/>
      <w:r w:rsidRPr="00627D4A">
        <w:rPr>
          <w:color w:val="000000"/>
          <w:sz w:val="20"/>
          <w:szCs w:val="20"/>
          <w:lang w:val="pt-BR"/>
        </w:rPr>
        <w:t>invisible</w:t>
      </w:r>
      <w:proofErr w:type="spellEnd"/>
      <w:r w:rsidRPr="00627D4A">
        <w:rPr>
          <w:color w:val="000000"/>
          <w:sz w:val="20"/>
          <w:szCs w:val="20"/>
          <w:lang w:val="pt-BR"/>
        </w:rPr>
        <w:t xml:space="preserve"> de </w:t>
      </w:r>
      <w:proofErr w:type="spellStart"/>
      <w:r w:rsidRPr="00627D4A">
        <w:rPr>
          <w:color w:val="000000"/>
          <w:sz w:val="20"/>
          <w:szCs w:val="20"/>
          <w:lang w:val="pt-BR"/>
        </w:rPr>
        <w:t>la</w:t>
      </w:r>
      <w:proofErr w:type="spellEnd"/>
      <w:r w:rsidRPr="00627D4A">
        <w:rPr>
          <w:color w:val="000000"/>
          <w:sz w:val="20"/>
          <w:szCs w:val="20"/>
          <w:lang w:val="pt-BR"/>
        </w:rPr>
        <w:t xml:space="preserve"> </w:t>
      </w:r>
      <w:proofErr w:type="spellStart"/>
      <w:r w:rsidRPr="00627D4A">
        <w:rPr>
          <w:color w:val="000000"/>
          <w:sz w:val="20"/>
          <w:szCs w:val="20"/>
          <w:lang w:val="pt-BR"/>
        </w:rPr>
        <w:t>mujer</w:t>
      </w:r>
      <w:proofErr w:type="spellEnd"/>
      <w:r w:rsidRPr="00627D4A">
        <w:rPr>
          <w:color w:val="000000"/>
          <w:sz w:val="20"/>
          <w:szCs w:val="20"/>
          <w:lang w:val="pt-BR"/>
        </w:rPr>
        <w:t xml:space="preserve"> </w:t>
      </w:r>
      <w:proofErr w:type="spellStart"/>
      <w:r w:rsidRPr="00627D4A">
        <w:rPr>
          <w:color w:val="000000"/>
          <w:sz w:val="20"/>
          <w:szCs w:val="20"/>
          <w:lang w:val="pt-BR"/>
        </w:rPr>
        <w:t>deportista</w:t>
      </w:r>
      <w:proofErr w:type="spellEnd"/>
      <w:r w:rsidRPr="00627D4A">
        <w:rPr>
          <w:color w:val="000000"/>
          <w:sz w:val="20"/>
          <w:szCs w:val="20"/>
          <w:lang w:val="pt-BR"/>
        </w:rPr>
        <w:t xml:space="preserve"> </w:t>
      </w:r>
      <w:proofErr w:type="spellStart"/>
      <w:r w:rsidRPr="00627D4A">
        <w:rPr>
          <w:color w:val="000000"/>
          <w:sz w:val="20"/>
          <w:szCs w:val="20"/>
          <w:lang w:val="pt-BR"/>
        </w:rPr>
        <w:t>en</w:t>
      </w:r>
      <w:proofErr w:type="spellEnd"/>
      <w:r w:rsidRPr="00627D4A">
        <w:rPr>
          <w:color w:val="000000"/>
          <w:sz w:val="20"/>
          <w:szCs w:val="20"/>
          <w:lang w:val="pt-BR"/>
        </w:rPr>
        <w:t xml:space="preserve"> </w:t>
      </w:r>
      <w:proofErr w:type="spellStart"/>
      <w:r w:rsidRPr="00627D4A">
        <w:rPr>
          <w:color w:val="000000"/>
          <w:sz w:val="20"/>
          <w:szCs w:val="20"/>
          <w:lang w:val="pt-BR"/>
        </w:rPr>
        <w:t>la</w:t>
      </w:r>
      <w:proofErr w:type="spellEnd"/>
      <w:r w:rsidRPr="00627D4A">
        <w:rPr>
          <w:color w:val="000000"/>
          <w:sz w:val="20"/>
          <w:szCs w:val="20"/>
          <w:lang w:val="pt-BR"/>
        </w:rPr>
        <w:t xml:space="preserve"> prensa </w:t>
      </w:r>
      <w:proofErr w:type="spellStart"/>
      <w:r w:rsidRPr="00627D4A">
        <w:rPr>
          <w:color w:val="000000"/>
          <w:sz w:val="20"/>
          <w:szCs w:val="20"/>
          <w:lang w:val="pt-BR"/>
        </w:rPr>
        <w:t>deportiva</w:t>
      </w:r>
      <w:proofErr w:type="spellEnd"/>
      <w:r w:rsidRPr="00627D4A">
        <w:rPr>
          <w:color w:val="000000"/>
          <w:sz w:val="20"/>
          <w:szCs w:val="20"/>
          <w:lang w:val="pt-BR"/>
        </w:rPr>
        <w:t xml:space="preserve"> </w:t>
      </w:r>
      <w:proofErr w:type="spellStart"/>
      <w:r w:rsidRPr="00627D4A">
        <w:rPr>
          <w:color w:val="000000"/>
          <w:sz w:val="20"/>
          <w:szCs w:val="20"/>
          <w:lang w:val="pt-BR"/>
        </w:rPr>
        <w:t>española</w:t>
      </w:r>
      <w:proofErr w:type="spellEnd"/>
      <w:r w:rsidRPr="00627D4A">
        <w:rPr>
          <w:color w:val="000000"/>
          <w:sz w:val="20"/>
          <w:szCs w:val="20"/>
          <w:lang w:val="pt-BR"/>
        </w:rPr>
        <w:t xml:space="preserve">: </w:t>
      </w:r>
      <w:proofErr w:type="spellStart"/>
      <w:r w:rsidRPr="00627D4A">
        <w:rPr>
          <w:color w:val="000000"/>
          <w:sz w:val="20"/>
          <w:szCs w:val="20"/>
          <w:lang w:val="pt-BR"/>
        </w:rPr>
        <w:t>análisis</w:t>
      </w:r>
      <w:proofErr w:type="spellEnd"/>
      <w:r w:rsidRPr="00627D4A">
        <w:rPr>
          <w:color w:val="000000"/>
          <w:sz w:val="20"/>
          <w:szCs w:val="20"/>
          <w:lang w:val="pt-BR"/>
        </w:rPr>
        <w:t xml:space="preserve"> de </w:t>
      </w:r>
      <w:proofErr w:type="spellStart"/>
      <w:r w:rsidRPr="00627D4A">
        <w:rPr>
          <w:color w:val="000000"/>
          <w:sz w:val="20"/>
          <w:szCs w:val="20"/>
          <w:lang w:val="pt-BR"/>
        </w:rPr>
        <w:t>las</w:t>
      </w:r>
      <w:proofErr w:type="spellEnd"/>
      <w:r w:rsidRPr="00627D4A">
        <w:rPr>
          <w:color w:val="000000"/>
          <w:sz w:val="20"/>
          <w:szCs w:val="20"/>
          <w:lang w:val="pt-BR"/>
        </w:rPr>
        <w:t xml:space="preserve"> portadas de Marca, As, Mundo Deportivo y Sport (2010–2015). </w:t>
      </w:r>
      <w:proofErr w:type="spellStart"/>
      <w:r w:rsidRPr="004E4B93">
        <w:rPr>
          <w:color w:val="000000"/>
          <w:sz w:val="20"/>
          <w:szCs w:val="20"/>
        </w:rPr>
        <w:t>Estud</w:t>
      </w:r>
      <w:proofErr w:type="spellEnd"/>
      <w:r w:rsidRPr="004E4B93">
        <w:rPr>
          <w:color w:val="000000"/>
          <w:sz w:val="20"/>
          <w:szCs w:val="20"/>
        </w:rPr>
        <w:t xml:space="preserve"> </w:t>
      </w:r>
      <w:proofErr w:type="spellStart"/>
      <w:r w:rsidRPr="004E4B93">
        <w:rPr>
          <w:color w:val="000000"/>
          <w:sz w:val="20"/>
          <w:szCs w:val="20"/>
        </w:rPr>
        <w:t>Sobre</w:t>
      </w:r>
      <w:proofErr w:type="spellEnd"/>
      <w:r w:rsidRPr="004E4B93">
        <w:rPr>
          <w:color w:val="000000"/>
          <w:sz w:val="20"/>
          <w:szCs w:val="20"/>
        </w:rPr>
        <w:t xml:space="preserve"> </w:t>
      </w:r>
      <w:proofErr w:type="spellStart"/>
      <w:r w:rsidRPr="004E4B93">
        <w:rPr>
          <w:color w:val="000000"/>
          <w:sz w:val="20"/>
          <w:szCs w:val="20"/>
        </w:rPr>
        <w:t>Mensaje</w:t>
      </w:r>
      <w:proofErr w:type="spellEnd"/>
      <w:r w:rsidRPr="004E4B93">
        <w:rPr>
          <w:color w:val="000000"/>
          <w:sz w:val="20"/>
          <w:szCs w:val="20"/>
        </w:rPr>
        <w:t xml:space="preserve"> </w:t>
      </w:r>
      <w:proofErr w:type="spellStart"/>
      <w:r w:rsidRPr="004E4B93">
        <w:rPr>
          <w:color w:val="000000"/>
          <w:sz w:val="20"/>
          <w:szCs w:val="20"/>
        </w:rPr>
        <w:t>Periodístico</w:t>
      </w:r>
      <w:proofErr w:type="spellEnd"/>
      <w:r w:rsidRPr="004E4B93">
        <w:rPr>
          <w:color w:val="000000"/>
          <w:sz w:val="20"/>
          <w:szCs w:val="20"/>
        </w:rPr>
        <w:t>. 2017;23(2):793–810. DOI:</w:t>
      </w:r>
      <w:r w:rsidRPr="004E4B93">
        <w:rPr>
          <w:color w:val="000000"/>
        </w:rPr>
        <w:t xml:space="preserve"> </w:t>
      </w:r>
      <w:hyperlink r:id="rId18">
        <w:r w:rsidR="005A6581" w:rsidRPr="004E4B93">
          <w:rPr>
            <w:color w:val="1155CC"/>
            <w:sz w:val="20"/>
            <w:szCs w:val="20"/>
            <w:u w:val="single"/>
          </w:rPr>
          <w:t>https://doi.org/10.1177/1464884917716818</w:t>
        </w:r>
      </w:hyperlink>
    </w:p>
    <w:p w14:paraId="3FC8E11C"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 xml:space="preserve">Herrera A, Sánchez-Hernández MD, Herrera MC, </w:t>
      </w:r>
      <w:proofErr w:type="spellStart"/>
      <w:r w:rsidRPr="004E4B93">
        <w:rPr>
          <w:color w:val="000000"/>
          <w:sz w:val="20"/>
          <w:szCs w:val="20"/>
        </w:rPr>
        <w:t>Expósito</w:t>
      </w:r>
      <w:proofErr w:type="spellEnd"/>
      <w:r w:rsidRPr="004E4B93">
        <w:rPr>
          <w:color w:val="000000"/>
          <w:sz w:val="20"/>
          <w:szCs w:val="20"/>
        </w:rPr>
        <w:t xml:space="preserve"> F. Athlete portraits in news: influence of media representation and gender on social perception. Span J Psychol. 2024;</w:t>
      </w:r>
      <w:proofErr w:type="gramStart"/>
      <w:r w:rsidRPr="004E4B93">
        <w:rPr>
          <w:color w:val="000000"/>
          <w:sz w:val="20"/>
          <w:szCs w:val="20"/>
        </w:rPr>
        <w:t>27:e</w:t>
      </w:r>
      <w:proofErr w:type="gramEnd"/>
      <w:r w:rsidRPr="004E4B93">
        <w:rPr>
          <w:color w:val="000000"/>
          <w:sz w:val="20"/>
          <w:szCs w:val="20"/>
        </w:rPr>
        <w:t>26. DOI:</w:t>
      </w:r>
      <w:r w:rsidRPr="004E4B93">
        <w:rPr>
          <w:color w:val="000000"/>
        </w:rPr>
        <w:t xml:space="preserve"> </w:t>
      </w:r>
      <w:hyperlink r:id="rId19">
        <w:r w:rsidR="005A6581" w:rsidRPr="004E4B93">
          <w:rPr>
            <w:color w:val="1155CC"/>
            <w:sz w:val="20"/>
            <w:szCs w:val="20"/>
            <w:u w:val="single"/>
          </w:rPr>
          <w:t>https://doi.org/10.5209/ESMP.58016</w:t>
        </w:r>
      </w:hyperlink>
    </w:p>
    <w:p w14:paraId="1870B9F4"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proofErr w:type="spellStart"/>
      <w:r w:rsidRPr="00627D4A">
        <w:rPr>
          <w:color w:val="000000"/>
          <w:sz w:val="20"/>
          <w:szCs w:val="20"/>
          <w:lang w:val="pt-BR"/>
        </w:rPr>
        <w:t>Salido</w:t>
      </w:r>
      <w:proofErr w:type="spellEnd"/>
      <w:r w:rsidRPr="00627D4A">
        <w:rPr>
          <w:color w:val="000000"/>
          <w:sz w:val="20"/>
          <w:szCs w:val="20"/>
          <w:lang w:val="pt-BR"/>
        </w:rPr>
        <w:t xml:space="preserve">-Fernández J. Olimpismo, género y </w:t>
      </w:r>
      <w:proofErr w:type="spellStart"/>
      <w:r w:rsidRPr="00627D4A">
        <w:rPr>
          <w:color w:val="000000"/>
          <w:sz w:val="20"/>
          <w:szCs w:val="20"/>
          <w:lang w:val="pt-BR"/>
        </w:rPr>
        <w:t>comunicación</w:t>
      </w:r>
      <w:proofErr w:type="spellEnd"/>
      <w:r w:rsidRPr="00627D4A">
        <w:rPr>
          <w:color w:val="000000"/>
          <w:sz w:val="20"/>
          <w:szCs w:val="20"/>
          <w:lang w:val="pt-BR"/>
        </w:rPr>
        <w:t xml:space="preserve">: una </w:t>
      </w:r>
      <w:proofErr w:type="spellStart"/>
      <w:r w:rsidRPr="00627D4A">
        <w:rPr>
          <w:color w:val="000000"/>
          <w:sz w:val="20"/>
          <w:szCs w:val="20"/>
          <w:lang w:val="pt-BR"/>
        </w:rPr>
        <w:t>aproximación</w:t>
      </w:r>
      <w:proofErr w:type="spellEnd"/>
      <w:r w:rsidRPr="00627D4A">
        <w:rPr>
          <w:color w:val="000000"/>
          <w:sz w:val="20"/>
          <w:szCs w:val="20"/>
          <w:lang w:val="pt-BR"/>
        </w:rPr>
        <w:t xml:space="preserve"> al deporte </w:t>
      </w:r>
      <w:proofErr w:type="spellStart"/>
      <w:r w:rsidRPr="00627D4A">
        <w:rPr>
          <w:color w:val="000000"/>
          <w:sz w:val="20"/>
          <w:szCs w:val="20"/>
          <w:lang w:val="pt-BR"/>
        </w:rPr>
        <w:t>femenino</w:t>
      </w:r>
      <w:proofErr w:type="spellEnd"/>
      <w:r w:rsidRPr="00627D4A">
        <w:rPr>
          <w:color w:val="000000"/>
          <w:sz w:val="20"/>
          <w:szCs w:val="20"/>
          <w:lang w:val="pt-BR"/>
        </w:rPr>
        <w:t xml:space="preserve"> y a </w:t>
      </w:r>
      <w:proofErr w:type="spellStart"/>
      <w:r w:rsidRPr="00627D4A">
        <w:rPr>
          <w:color w:val="000000"/>
          <w:sz w:val="20"/>
          <w:szCs w:val="20"/>
          <w:lang w:val="pt-BR"/>
        </w:rPr>
        <w:t>su</w:t>
      </w:r>
      <w:proofErr w:type="spellEnd"/>
      <w:r w:rsidRPr="00627D4A">
        <w:rPr>
          <w:color w:val="000000"/>
          <w:sz w:val="20"/>
          <w:szCs w:val="20"/>
          <w:lang w:val="pt-BR"/>
        </w:rPr>
        <w:t xml:space="preserve"> </w:t>
      </w:r>
      <w:proofErr w:type="spellStart"/>
      <w:r w:rsidRPr="00627D4A">
        <w:rPr>
          <w:color w:val="000000"/>
          <w:sz w:val="20"/>
          <w:szCs w:val="20"/>
          <w:lang w:val="pt-BR"/>
        </w:rPr>
        <w:t>representación</w:t>
      </w:r>
      <w:proofErr w:type="spellEnd"/>
      <w:r w:rsidRPr="00627D4A">
        <w:rPr>
          <w:color w:val="000000"/>
          <w:sz w:val="20"/>
          <w:szCs w:val="20"/>
          <w:lang w:val="pt-BR"/>
        </w:rPr>
        <w:t xml:space="preserve"> </w:t>
      </w:r>
      <w:proofErr w:type="spellStart"/>
      <w:r w:rsidRPr="00627D4A">
        <w:rPr>
          <w:color w:val="000000"/>
          <w:sz w:val="20"/>
          <w:szCs w:val="20"/>
          <w:lang w:val="pt-BR"/>
        </w:rPr>
        <w:t>en</w:t>
      </w:r>
      <w:proofErr w:type="spellEnd"/>
      <w:r w:rsidRPr="00627D4A">
        <w:rPr>
          <w:color w:val="000000"/>
          <w:sz w:val="20"/>
          <w:szCs w:val="20"/>
          <w:lang w:val="pt-BR"/>
        </w:rPr>
        <w:t xml:space="preserve"> </w:t>
      </w:r>
      <w:proofErr w:type="spellStart"/>
      <w:r w:rsidRPr="00627D4A">
        <w:rPr>
          <w:color w:val="000000"/>
          <w:sz w:val="20"/>
          <w:szCs w:val="20"/>
          <w:lang w:val="pt-BR"/>
        </w:rPr>
        <w:t>los</w:t>
      </w:r>
      <w:proofErr w:type="spellEnd"/>
      <w:r w:rsidRPr="00627D4A">
        <w:rPr>
          <w:color w:val="000000"/>
          <w:sz w:val="20"/>
          <w:szCs w:val="20"/>
          <w:lang w:val="pt-BR"/>
        </w:rPr>
        <w:t xml:space="preserve"> </w:t>
      </w:r>
      <w:proofErr w:type="spellStart"/>
      <w:r w:rsidRPr="00627D4A">
        <w:rPr>
          <w:color w:val="000000"/>
          <w:sz w:val="20"/>
          <w:szCs w:val="20"/>
          <w:lang w:val="pt-BR"/>
        </w:rPr>
        <w:t>medios</w:t>
      </w:r>
      <w:proofErr w:type="spellEnd"/>
      <w:r w:rsidRPr="00627D4A">
        <w:rPr>
          <w:color w:val="000000"/>
          <w:sz w:val="20"/>
          <w:szCs w:val="20"/>
          <w:lang w:val="pt-BR"/>
        </w:rPr>
        <w:t xml:space="preserve"> </w:t>
      </w:r>
      <w:proofErr w:type="spellStart"/>
      <w:r w:rsidRPr="00627D4A">
        <w:rPr>
          <w:color w:val="000000"/>
          <w:sz w:val="20"/>
          <w:szCs w:val="20"/>
          <w:lang w:val="pt-BR"/>
        </w:rPr>
        <w:t>deportivos</w:t>
      </w:r>
      <w:proofErr w:type="spellEnd"/>
      <w:r w:rsidRPr="00627D4A">
        <w:rPr>
          <w:color w:val="000000"/>
          <w:sz w:val="20"/>
          <w:szCs w:val="20"/>
          <w:lang w:val="pt-BR"/>
        </w:rPr>
        <w:t xml:space="preserve">. </w:t>
      </w:r>
      <w:proofErr w:type="spellStart"/>
      <w:r w:rsidRPr="004E4B93">
        <w:rPr>
          <w:color w:val="000000"/>
          <w:sz w:val="20"/>
          <w:szCs w:val="20"/>
        </w:rPr>
        <w:t>Comun</w:t>
      </w:r>
      <w:proofErr w:type="spellEnd"/>
      <w:r w:rsidRPr="004E4B93">
        <w:rPr>
          <w:color w:val="000000"/>
          <w:sz w:val="20"/>
          <w:szCs w:val="20"/>
        </w:rPr>
        <w:t xml:space="preserve"> </w:t>
      </w:r>
      <w:proofErr w:type="spellStart"/>
      <w:r w:rsidRPr="004E4B93">
        <w:rPr>
          <w:color w:val="000000"/>
          <w:sz w:val="20"/>
          <w:szCs w:val="20"/>
        </w:rPr>
        <w:t>Género</w:t>
      </w:r>
      <w:proofErr w:type="spellEnd"/>
      <w:r w:rsidRPr="004E4B93">
        <w:rPr>
          <w:color w:val="000000"/>
          <w:sz w:val="20"/>
          <w:szCs w:val="20"/>
        </w:rPr>
        <w:t>. 2020;3(2):173–82. DOI:</w:t>
      </w:r>
      <w:r w:rsidRPr="004E4B93">
        <w:rPr>
          <w:color w:val="000000"/>
        </w:rPr>
        <w:t xml:space="preserve"> </w:t>
      </w:r>
      <w:hyperlink r:id="rId20">
        <w:r w:rsidR="005A6581" w:rsidRPr="004E4B93">
          <w:rPr>
            <w:color w:val="1155CC"/>
            <w:sz w:val="20"/>
            <w:szCs w:val="20"/>
            <w:u w:val="single"/>
          </w:rPr>
          <w:t>https://doi.org/10.5209/cgen.68559</w:t>
        </w:r>
      </w:hyperlink>
    </w:p>
    <w:p w14:paraId="379A83C2"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 xml:space="preserve">Crolley L, Teso E. Gendered narratives in Spain: The representation of female athletes in Marca and El País. Int Rev </w:t>
      </w:r>
      <w:proofErr w:type="spellStart"/>
      <w:r w:rsidRPr="004E4B93">
        <w:rPr>
          <w:color w:val="000000"/>
          <w:sz w:val="20"/>
          <w:szCs w:val="20"/>
        </w:rPr>
        <w:t>Sociol</w:t>
      </w:r>
      <w:proofErr w:type="spellEnd"/>
      <w:r w:rsidRPr="004E4B93">
        <w:rPr>
          <w:color w:val="000000"/>
          <w:sz w:val="20"/>
          <w:szCs w:val="20"/>
        </w:rPr>
        <w:t xml:space="preserve"> Sport. 2007;42(2):149–66. DOI:</w:t>
      </w:r>
      <w:r w:rsidRPr="004E4B93">
        <w:rPr>
          <w:color w:val="000000"/>
        </w:rPr>
        <w:t xml:space="preserve"> </w:t>
      </w:r>
      <w:hyperlink r:id="rId21">
        <w:r w:rsidR="005A6581" w:rsidRPr="004E4B93">
          <w:rPr>
            <w:color w:val="1155CC"/>
            <w:sz w:val="20"/>
            <w:szCs w:val="20"/>
            <w:u w:val="single"/>
          </w:rPr>
          <w:t>https://doi.org/10.1177/1012690207084749</w:t>
        </w:r>
      </w:hyperlink>
    </w:p>
    <w:p w14:paraId="3DBD7335"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 xml:space="preserve">Messner MA. Sports and male domination: the female athlete as contested ideological terrain. </w:t>
      </w:r>
      <w:proofErr w:type="spellStart"/>
      <w:r w:rsidRPr="004E4B93">
        <w:rPr>
          <w:color w:val="000000"/>
          <w:sz w:val="20"/>
          <w:szCs w:val="20"/>
        </w:rPr>
        <w:t>Sociol</w:t>
      </w:r>
      <w:proofErr w:type="spellEnd"/>
      <w:r w:rsidRPr="004E4B93">
        <w:rPr>
          <w:color w:val="000000"/>
          <w:sz w:val="20"/>
          <w:szCs w:val="20"/>
        </w:rPr>
        <w:t xml:space="preserve"> Sport J. 1998;15(3):197–211. DOI: </w:t>
      </w:r>
      <w:hyperlink r:id="rId22">
        <w:r w:rsidR="005A6581" w:rsidRPr="004E4B93">
          <w:rPr>
            <w:color w:val="1155CC"/>
            <w:sz w:val="20"/>
            <w:szCs w:val="20"/>
            <w:u w:val="single"/>
          </w:rPr>
          <w:t>https://doi.org/10.1123/SSJ.5.3.197</w:t>
        </w:r>
      </w:hyperlink>
    </w:p>
    <w:p w14:paraId="27F987E8"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Jeffreys S. Penile imperialism. The male sex right and women's subordination. 1st ed. Melbourne: Spinifex Press; 2022. P. 144.</w:t>
      </w:r>
    </w:p>
    <w:p w14:paraId="2ADF85FB"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t xml:space="preserve">Guerrero Salazar S. La </w:t>
      </w:r>
      <w:proofErr w:type="spellStart"/>
      <w:r w:rsidRPr="00627D4A">
        <w:rPr>
          <w:color w:val="000000"/>
          <w:sz w:val="20"/>
          <w:szCs w:val="20"/>
          <w:lang w:val="pt-BR"/>
        </w:rPr>
        <w:t>representación</w:t>
      </w:r>
      <w:proofErr w:type="spellEnd"/>
      <w:r w:rsidRPr="00627D4A">
        <w:rPr>
          <w:color w:val="000000"/>
          <w:sz w:val="20"/>
          <w:szCs w:val="20"/>
          <w:lang w:val="pt-BR"/>
        </w:rPr>
        <w:t xml:space="preserve"> de </w:t>
      </w:r>
      <w:proofErr w:type="spellStart"/>
      <w:r w:rsidRPr="00627D4A">
        <w:rPr>
          <w:color w:val="000000"/>
          <w:sz w:val="20"/>
          <w:szCs w:val="20"/>
          <w:lang w:val="pt-BR"/>
        </w:rPr>
        <w:t>las</w:t>
      </w:r>
      <w:proofErr w:type="spellEnd"/>
      <w:r w:rsidRPr="00627D4A">
        <w:rPr>
          <w:color w:val="000000"/>
          <w:sz w:val="20"/>
          <w:szCs w:val="20"/>
          <w:lang w:val="pt-BR"/>
        </w:rPr>
        <w:t xml:space="preserve"> </w:t>
      </w:r>
      <w:proofErr w:type="spellStart"/>
      <w:r w:rsidRPr="00627D4A">
        <w:rPr>
          <w:color w:val="000000"/>
          <w:sz w:val="20"/>
          <w:szCs w:val="20"/>
          <w:lang w:val="pt-BR"/>
        </w:rPr>
        <w:t>deportistas</w:t>
      </w:r>
      <w:proofErr w:type="spellEnd"/>
      <w:r w:rsidRPr="00627D4A">
        <w:rPr>
          <w:color w:val="000000"/>
          <w:sz w:val="20"/>
          <w:szCs w:val="20"/>
          <w:lang w:val="pt-BR"/>
        </w:rPr>
        <w:t xml:space="preserve"> a través </w:t>
      </w:r>
      <w:proofErr w:type="spellStart"/>
      <w:r w:rsidRPr="00627D4A">
        <w:rPr>
          <w:color w:val="000000"/>
          <w:sz w:val="20"/>
          <w:szCs w:val="20"/>
          <w:lang w:val="pt-BR"/>
        </w:rPr>
        <w:t>del</w:t>
      </w:r>
      <w:proofErr w:type="spellEnd"/>
      <w:r w:rsidRPr="00627D4A">
        <w:rPr>
          <w:color w:val="000000"/>
          <w:sz w:val="20"/>
          <w:szCs w:val="20"/>
          <w:lang w:val="pt-BR"/>
        </w:rPr>
        <w:t xml:space="preserve"> </w:t>
      </w:r>
      <w:proofErr w:type="spellStart"/>
      <w:r w:rsidRPr="00627D4A">
        <w:rPr>
          <w:color w:val="000000"/>
          <w:sz w:val="20"/>
          <w:szCs w:val="20"/>
          <w:lang w:val="pt-BR"/>
        </w:rPr>
        <w:t>lenguaje</w:t>
      </w:r>
      <w:proofErr w:type="spellEnd"/>
      <w:r w:rsidRPr="00627D4A">
        <w:rPr>
          <w:color w:val="000000"/>
          <w:sz w:val="20"/>
          <w:szCs w:val="20"/>
          <w:lang w:val="pt-BR"/>
        </w:rPr>
        <w:t xml:space="preserve"> </w:t>
      </w:r>
      <w:proofErr w:type="spellStart"/>
      <w:r w:rsidRPr="00627D4A">
        <w:rPr>
          <w:color w:val="000000"/>
          <w:sz w:val="20"/>
          <w:szCs w:val="20"/>
          <w:lang w:val="pt-BR"/>
        </w:rPr>
        <w:t>en</w:t>
      </w:r>
      <w:proofErr w:type="spellEnd"/>
      <w:r w:rsidRPr="00627D4A">
        <w:rPr>
          <w:color w:val="000000"/>
          <w:sz w:val="20"/>
          <w:szCs w:val="20"/>
          <w:lang w:val="pt-BR"/>
        </w:rPr>
        <w:t xml:space="preserve"> </w:t>
      </w:r>
      <w:proofErr w:type="spellStart"/>
      <w:r w:rsidRPr="00627D4A">
        <w:rPr>
          <w:color w:val="000000"/>
          <w:sz w:val="20"/>
          <w:szCs w:val="20"/>
          <w:lang w:val="pt-BR"/>
        </w:rPr>
        <w:t>las</w:t>
      </w:r>
      <w:proofErr w:type="spellEnd"/>
      <w:r w:rsidRPr="00627D4A">
        <w:rPr>
          <w:color w:val="000000"/>
          <w:sz w:val="20"/>
          <w:szCs w:val="20"/>
          <w:lang w:val="pt-BR"/>
        </w:rPr>
        <w:t xml:space="preserve"> portadas de </w:t>
      </w:r>
      <w:proofErr w:type="spellStart"/>
      <w:r w:rsidRPr="00627D4A">
        <w:rPr>
          <w:color w:val="000000"/>
          <w:sz w:val="20"/>
          <w:szCs w:val="20"/>
          <w:lang w:val="pt-BR"/>
        </w:rPr>
        <w:t>los</w:t>
      </w:r>
      <w:proofErr w:type="spellEnd"/>
      <w:r w:rsidRPr="00627D4A">
        <w:rPr>
          <w:color w:val="000000"/>
          <w:sz w:val="20"/>
          <w:szCs w:val="20"/>
          <w:lang w:val="pt-BR"/>
        </w:rPr>
        <w:t xml:space="preserve"> </w:t>
      </w:r>
      <w:proofErr w:type="spellStart"/>
      <w:proofErr w:type="gramStart"/>
      <w:r w:rsidRPr="00627D4A">
        <w:rPr>
          <w:color w:val="000000"/>
          <w:sz w:val="20"/>
          <w:szCs w:val="20"/>
          <w:lang w:val="pt-BR"/>
        </w:rPr>
        <w:t>diarios</w:t>
      </w:r>
      <w:proofErr w:type="spellEnd"/>
      <w:r w:rsidRPr="00627D4A">
        <w:rPr>
          <w:color w:val="000000"/>
          <w:sz w:val="20"/>
          <w:szCs w:val="20"/>
          <w:lang w:val="pt-BR"/>
        </w:rPr>
        <w:t xml:space="preserve"> Marca</w:t>
      </w:r>
      <w:proofErr w:type="gramEnd"/>
      <w:r w:rsidRPr="00627D4A">
        <w:rPr>
          <w:color w:val="000000"/>
          <w:sz w:val="20"/>
          <w:szCs w:val="20"/>
          <w:lang w:val="pt-BR"/>
        </w:rPr>
        <w:t xml:space="preserve"> y Sport. </w:t>
      </w:r>
      <w:proofErr w:type="spellStart"/>
      <w:r w:rsidRPr="004E4B93">
        <w:rPr>
          <w:color w:val="000000"/>
          <w:sz w:val="20"/>
          <w:szCs w:val="20"/>
        </w:rPr>
        <w:t>Feminismo</w:t>
      </w:r>
      <w:proofErr w:type="spellEnd"/>
      <w:r w:rsidRPr="004E4B93">
        <w:rPr>
          <w:color w:val="000000"/>
          <w:sz w:val="20"/>
          <w:szCs w:val="20"/>
        </w:rPr>
        <w:t>/s. 2022;(39):97–122. DOI:  </w:t>
      </w:r>
      <w:hyperlink r:id="rId23">
        <w:r w:rsidR="005A6581" w:rsidRPr="004E4B93">
          <w:rPr>
            <w:color w:val="1155CC"/>
            <w:sz w:val="20"/>
            <w:szCs w:val="20"/>
            <w:u w:val="single"/>
          </w:rPr>
          <w:t>https://doi.org/10.14198/fem.2022.39.04</w:t>
        </w:r>
      </w:hyperlink>
    </w:p>
    <w:p w14:paraId="5C23B896"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t xml:space="preserve">De Miguel A. Neoliberalismo sexual. El mito de </w:t>
      </w:r>
      <w:proofErr w:type="spellStart"/>
      <w:r w:rsidRPr="00627D4A">
        <w:rPr>
          <w:color w:val="000000"/>
          <w:sz w:val="20"/>
          <w:szCs w:val="20"/>
          <w:lang w:val="pt-BR"/>
        </w:rPr>
        <w:t>la</w:t>
      </w:r>
      <w:proofErr w:type="spellEnd"/>
      <w:r w:rsidRPr="00627D4A">
        <w:rPr>
          <w:color w:val="000000"/>
          <w:sz w:val="20"/>
          <w:szCs w:val="20"/>
          <w:lang w:val="pt-BR"/>
        </w:rPr>
        <w:t xml:space="preserve"> libre </w:t>
      </w:r>
      <w:proofErr w:type="spellStart"/>
      <w:r w:rsidRPr="00627D4A">
        <w:rPr>
          <w:color w:val="000000"/>
          <w:sz w:val="20"/>
          <w:szCs w:val="20"/>
          <w:lang w:val="pt-BR"/>
        </w:rPr>
        <w:t>elección</w:t>
      </w:r>
      <w:proofErr w:type="spellEnd"/>
      <w:r w:rsidRPr="00627D4A">
        <w:rPr>
          <w:color w:val="000000"/>
          <w:sz w:val="20"/>
          <w:szCs w:val="20"/>
          <w:lang w:val="pt-BR"/>
        </w:rPr>
        <w:t xml:space="preserve">. </w:t>
      </w:r>
      <w:r w:rsidRPr="004E4B93">
        <w:rPr>
          <w:color w:val="000000"/>
          <w:sz w:val="20"/>
          <w:szCs w:val="20"/>
        </w:rPr>
        <w:t xml:space="preserve">Madrid: </w:t>
      </w:r>
      <w:proofErr w:type="spellStart"/>
      <w:r w:rsidRPr="004E4B93">
        <w:rPr>
          <w:color w:val="000000"/>
          <w:sz w:val="20"/>
          <w:szCs w:val="20"/>
        </w:rPr>
        <w:t>Cátedra</w:t>
      </w:r>
      <w:proofErr w:type="spellEnd"/>
      <w:r w:rsidRPr="004E4B93">
        <w:rPr>
          <w:color w:val="000000"/>
          <w:sz w:val="20"/>
          <w:szCs w:val="20"/>
        </w:rPr>
        <w:t>; 2017. p. 32-7.</w:t>
      </w:r>
    </w:p>
    <w:p w14:paraId="616D3A7E"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 xml:space="preserve">Mauro M. Contrasting media representations of race and national identity: The case of England and Italy at the Union of European Football Associations Euro 2020. </w:t>
      </w:r>
      <w:proofErr w:type="spellStart"/>
      <w:r w:rsidRPr="004E4B93">
        <w:rPr>
          <w:color w:val="000000"/>
          <w:sz w:val="20"/>
          <w:szCs w:val="20"/>
        </w:rPr>
        <w:t>Eur</w:t>
      </w:r>
      <w:proofErr w:type="spellEnd"/>
      <w:r w:rsidRPr="004E4B93">
        <w:rPr>
          <w:color w:val="000000"/>
          <w:sz w:val="20"/>
          <w:szCs w:val="20"/>
        </w:rPr>
        <w:t xml:space="preserve"> J Cult Stud. 2025;28(2):472–92. DOI:</w:t>
      </w:r>
      <w:r w:rsidRPr="004E4B93">
        <w:rPr>
          <w:color w:val="000000"/>
        </w:rPr>
        <w:t xml:space="preserve"> </w:t>
      </w:r>
      <w:hyperlink r:id="rId24">
        <w:r w:rsidR="005A6581" w:rsidRPr="004E4B93">
          <w:rPr>
            <w:color w:val="1155CC"/>
            <w:sz w:val="20"/>
            <w:szCs w:val="20"/>
            <w:u w:val="single"/>
          </w:rPr>
          <w:t>https://doi.org/10.1177/13675494241245632</w:t>
        </w:r>
      </w:hyperlink>
    </w:p>
    <w:p w14:paraId="3669D21C"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Wanta W. Reflections on communication and sport: On reporting and journalists. Commun Sport. 2013;1(1–2):76–87. DOI:  </w:t>
      </w:r>
      <w:hyperlink r:id="rId25">
        <w:r w:rsidR="005A6581" w:rsidRPr="004E4B93">
          <w:rPr>
            <w:color w:val="1155CC"/>
            <w:sz w:val="20"/>
            <w:szCs w:val="20"/>
            <w:u w:val="single"/>
          </w:rPr>
          <w:t>https://doi.org/10.1177/2167479512471334</w:t>
        </w:r>
      </w:hyperlink>
    </w:p>
    <w:p w14:paraId="14AE49F3"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t xml:space="preserve">Sainz de </w:t>
      </w:r>
      <w:proofErr w:type="spellStart"/>
      <w:r w:rsidRPr="00627D4A">
        <w:rPr>
          <w:color w:val="000000"/>
          <w:sz w:val="20"/>
          <w:szCs w:val="20"/>
          <w:lang w:val="pt-BR"/>
        </w:rPr>
        <w:t>Baranda</w:t>
      </w:r>
      <w:proofErr w:type="spellEnd"/>
      <w:r w:rsidRPr="00627D4A">
        <w:rPr>
          <w:color w:val="000000"/>
          <w:sz w:val="20"/>
          <w:szCs w:val="20"/>
          <w:lang w:val="pt-BR"/>
        </w:rPr>
        <w:t xml:space="preserve"> </w:t>
      </w:r>
      <w:proofErr w:type="spellStart"/>
      <w:r w:rsidRPr="00627D4A">
        <w:rPr>
          <w:color w:val="000000"/>
          <w:sz w:val="20"/>
          <w:szCs w:val="20"/>
          <w:lang w:val="pt-BR"/>
        </w:rPr>
        <w:t>Andujar</w:t>
      </w:r>
      <w:proofErr w:type="spellEnd"/>
      <w:r w:rsidRPr="00627D4A">
        <w:rPr>
          <w:color w:val="000000"/>
          <w:sz w:val="20"/>
          <w:szCs w:val="20"/>
          <w:lang w:val="pt-BR"/>
        </w:rPr>
        <w:t xml:space="preserve"> C. </w:t>
      </w:r>
      <w:proofErr w:type="spellStart"/>
      <w:r w:rsidRPr="00627D4A">
        <w:rPr>
          <w:color w:val="000000"/>
          <w:sz w:val="20"/>
          <w:szCs w:val="20"/>
          <w:lang w:val="pt-BR"/>
        </w:rPr>
        <w:t>Las</w:t>
      </w:r>
      <w:proofErr w:type="spellEnd"/>
      <w:r w:rsidRPr="00627D4A">
        <w:rPr>
          <w:color w:val="000000"/>
          <w:sz w:val="20"/>
          <w:szCs w:val="20"/>
          <w:lang w:val="pt-BR"/>
        </w:rPr>
        <w:t xml:space="preserve"> </w:t>
      </w:r>
      <w:proofErr w:type="spellStart"/>
      <w:r w:rsidRPr="00627D4A">
        <w:rPr>
          <w:color w:val="000000"/>
          <w:sz w:val="20"/>
          <w:szCs w:val="20"/>
          <w:lang w:val="pt-BR"/>
        </w:rPr>
        <w:t>mujeres</w:t>
      </w:r>
      <w:proofErr w:type="spellEnd"/>
      <w:r w:rsidRPr="00627D4A">
        <w:rPr>
          <w:color w:val="000000"/>
          <w:sz w:val="20"/>
          <w:szCs w:val="20"/>
          <w:lang w:val="pt-BR"/>
        </w:rPr>
        <w:t xml:space="preserve"> </w:t>
      </w:r>
      <w:proofErr w:type="spellStart"/>
      <w:r w:rsidRPr="00627D4A">
        <w:rPr>
          <w:color w:val="000000"/>
          <w:sz w:val="20"/>
          <w:szCs w:val="20"/>
          <w:lang w:val="pt-BR"/>
        </w:rPr>
        <w:t>en</w:t>
      </w:r>
      <w:proofErr w:type="spellEnd"/>
      <w:r w:rsidRPr="00627D4A">
        <w:rPr>
          <w:color w:val="000000"/>
          <w:sz w:val="20"/>
          <w:szCs w:val="20"/>
          <w:lang w:val="pt-BR"/>
        </w:rPr>
        <w:t xml:space="preserve"> </w:t>
      </w:r>
      <w:proofErr w:type="spellStart"/>
      <w:r w:rsidRPr="00627D4A">
        <w:rPr>
          <w:color w:val="000000"/>
          <w:sz w:val="20"/>
          <w:szCs w:val="20"/>
          <w:lang w:val="pt-BR"/>
        </w:rPr>
        <w:t>la</w:t>
      </w:r>
      <w:proofErr w:type="spellEnd"/>
      <w:r w:rsidRPr="00627D4A">
        <w:rPr>
          <w:color w:val="000000"/>
          <w:sz w:val="20"/>
          <w:szCs w:val="20"/>
          <w:lang w:val="pt-BR"/>
        </w:rPr>
        <w:t xml:space="preserve"> prensa </w:t>
      </w:r>
      <w:proofErr w:type="spellStart"/>
      <w:r w:rsidRPr="00627D4A">
        <w:rPr>
          <w:color w:val="000000"/>
          <w:sz w:val="20"/>
          <w:szCs w:val="20"/>
          <w:lang w:val="pt-BR"/>
        </w:rPr>
        <w:t>deportiva</w:t>
      </w:r>
      <w:proofErr w:type="spellEnd"/>
      <w:r w:rsidRPr="00627D4A">
        <w:rPr>
          <w:color w:val="000000"/>
          <w:sz w:val="20"/>
          <w:szCs w:val="20"/>
          <w:lang w:val="pt-BR"/>
        </w:rPr>
        <w:t xml:space="preserve">: dos perfiles. </w:t>
      </w:r>
      <w:proofErr w:type="spellStart"/>
      <w:r w:rsidRPr="004E4B93">
        <w:rPr>
          <w:color w:val="000000"/>
          <w:sz w:val="20"/>
          <w:szCs w:val="20"/>
        </w:rPr>
        <w:t>Cuad</w:t>
      </w:r>
      <w:proofErr w:type="spellEnd"/>
      <w:r w:rsidRPr="004E4B93">
        <w:rPr>
          <w:color w:val="000000"/>
          <w:sz w:val="20"/>
          <w:szCs w:val="20"/>
        </w:rPr>
        <w:t xml:space="preserve"> </w:t>
      </w:r>
      <w:proofErr w:type="spellStart"/>
      <w:r w:rsidRPr="004E4B93">
        <w:rPr>
          <w:color w:val="000000"/>
          <w:sz w:val="20"/>
          <w:szCs w:val="20"/>
        </w:rPr>
        <w:t>Psicol</w:t>
      </w:r>
      <w:proofErr w:type="spellEnd"/>
      <w:r w:rsidRPr="004E4B93">
        <w:rPr>
          <w:color w:val="000000"/>
          <w:sz w:val="20"/>
          <w:szCs w:val="20"/>
        </w:rPr>
        <w:t xml:space="preserve"> </w:t>
      </w:r>
      <w:proofErr w:type="spellStart"/>
      <w:r w:rsidRPr="004E4B93">
        <w:rPr>
          <w:color w:val="000000"/>
          <w:sz w:val="20"/>
          <w:szCs w:val="20"/>
        </w:rPr>
        <w:t>Deporte</w:t>
      </w:r>
      <w:proofErr w:type="spellEnd"/>
      <w:r w:rsidRPr="004E4B93">
        <w:rPr>
          <w:color w:val="000000"/>
          <w:sz w:val="20"/>
          <w:szCs w:val="20"/>
        </w:rPr>
        <w:t xml:space="preserve">. 2014 [cited 2025 Jul 18];14(1):91–102. Available from: </w:t>
      </w:r>
      <w:hyperlink r:id="rId26">
        <w:r w:rsidR="005A6581" w:rsidRPr="004E4B93">
          <w:rPr>
            <w:color w:val="1155CC"/>
            <w:sz w:val="20"/>
            <w:szCs w:val="20"/>
            <w:u w:val="single"/>
          </w:rPr>
          <w:t>http://scielo.isciii.es/scielo.php?script=sci_arttext&amp;pid=S1578-84232014000100011&amp;lng=es</w:t>
        </w:r>
      </w:hyperlink>
      <w:r w:rsidRPr="004E4B93">
        <w:rPr>
          <w:color w:val="000000"/>
          <w:sz w:val="20"/>
          <w:szCs w:val="20"/>
        </w:rPr>
        <w:t>.</w:t>
      </w:r>
    </w:p>
    <w:p w14:paraId="7D57B794" w14:textId="77777777" w:rsidR="005A6581" w:rsidRPr="00627D4A" w:rsidRDefault="0064432F">
      <w:pPr>
        <w:numPr>
          <w:ilvl w:val="0"/>
          <w:numId w:val="1"/>
        </w:numPr>
        <w:pBdr>
          <w:top w:val="nil"/>
          <w:left w:val="nil"/>
          <w:bottom w:val="nil"/>
          <w:right w:val="nil"/>
          <w:between w:val="nil"/>
        </w:pBdr>
        <w:spacing w:line="276" w:lineRule="auto"/>
        <w:rPr>
          <w:color w:val="000000"/>
          <w:sz w:val="20"/>
          <w:szCs w:val="20"/>
          <w:lang w:val="pt-BR"/>
        </w:rPr>
      </w:pPr>
      <w:proofErr w:type="spellStart"/>
      <w:r w:rsidRPr="00627D4A">
        <w:rPr>
          <w:color w:val="000000"/>
          <w:sz w:val="20"/>
          <w:szCs w:val="20"/>
          <w:lang w:val="pt-BR"/>
        </w:rPr>
        <w:t>Salido</w:t>
      </w:r>
      <w:proofErr w:type="spellEnd"/>
      <w:r w:rsidRPr="00627D4A">
        <w:rPr>
          <w:color w:val="000000"/>
          <w:sz w:val="20"/>
          <w:szCs w:val="20"/>
          <w:lang w:val="pt-BR"/>
        </w:rPr>
        <w:t xml:space="preserve">-Fernández J, </w:t>
      </w:r>
      <w:proofErr w:type="spellStart"/>
      <w:r w:rsidRPr="00627D4A">
        <w:rPr>
          <w:color w:val="000000"/>
          <w:sz w:val="20"/>
          <w:szCs w:val="20"/>
          <w:lang w:val="pt-BR"/>
        </w:rPr>
        <w:t>Muñoz-Muñoz</w:t>
      </w:r>
      <w:proofErr w:type="spellEnd"/>
      <w:r w:rsidRPr="00627D4A">
        <w:rPr>
          <w:color w:val="000000"/>
          <w:sz w:val="20"/>
          <w:szCs w:val="20"/>
          <w:lang w:val="pt-BR"/>
        </w:rPr>
        <w:t xml:space="preserve"> AM. </w:t>
      </w:r>
      <w:r w:rsidRPr="004E4B93">
        <w:rPr>
          <w:color w:val="000000"/>
          <w:sz w:val="20"/>
          <w:szCs w:val="20"/>
        </w:rPr>
        <w:t xml:space="preserve">Media Representation of Women Athletes at the Olympic Games: A Systematic Review. </w:t>
      </w:r>
      <w:proofErr w:type="spellStart"/>
      <w:r w:rsidRPr="00627D4A">
        <w:rPr>
          <w:color w:val="000000"/>
          <w:sz w:val="20"/>
          <w:szCs w:val="20"/>
          <w:lang w:val="pt-BR"/>
        </w:rPr>
        <w:t>Apunts</w:t>
      </w:r>
      <w:proofErr w:type="spellEnd"/>
      <w:r w:rsidRPr="00627D4A">
        <w:rPr>
          <w:color w:val="000000"/>
          <w:sz w:val="20"/>
          <w:szCs w:val="20"/>
          <w:lang w:val="pt-BR"/>
        </w:rPr>
        <w:t xml:space="preserve"> </w:t>
      </w:r>
      <w:proofErr w:type="spellStart"/>
      <w:r w:rsidRPr="00627D4A">
        <w:rPr>
          <w:color w:val="000000"/>
          <w:sz w:val="20"/>
          <w:szCs w:val="20"/>
          <w:lang w:val="pt-BR"/>
        </w:rPr>
        <w:t>Educ</w:t>
      </w:r>
      <w:proofErr w:type="spellEnd"/>
      <w:r w:rsidRPr="00627D4A">
        <w:rPr>
          <w:color w:val="000000"/>
          <w:sz w:val="20"/>
          <w:szCs w:val="20"/>
          <w:lang w:val="pt-BR"/>
        </w:rPr>
        <w:t xml:space="preserve"> </w:t>
      </w:r>
      <w:proofErr w:type="spellStart"/>
      <w:r w:rsidRPr="00627D4A">
        <w:rPr>
          <w:color w:val="000000"/>
          <w:sz w:val="20"/>
          <w:szCs w:val="20"/>
          <w:lang w:val="pt-BR"/>
        </w:rPr>
        <w:t>Fís</w:t>
      </w:r>
      <w:proofErr w:type="spellEnd"/>
      <w:r w:rsidRPr="00627D4A">
        <w:rPr>
          <w:color w:val="000000"/>
          <w:sz w:val="20"/>
          <w:szCs w:val="20"/>
          <w:lang w:val="pt-BR"/>
        </w:rPr>
        <w:t xml:space="preserve"> Deportes. 2021;(146):32–41. DOI:</w:t>
      </w:r>
      <w:r w:rsidRPr="00627D4A">
        <w:rPr>
          <w:color w:val="000000"/>
          <w:lang w:val="pt-BR"/>
        </w:rPr>
        <w:t xml:space="preserve"> </w:t>
      </w:r>
      <w:hyperlink r:id="rId27">
        <w:r w:rsidR="005A6581" w:rsidRPr="00627D4A">
          <w:rPr>
            <w:color w:val="1155CC"/>
            <w:sz w:val="20"/>
            <w:szCs w:val="20"/>
            <w:u w:val="single"/>
            <w:lang w:val="pt-BR"/>
          </w:rPr>
          <w:t>https://doi.org/10.5672/apunts.2014-0983.es.(2021/4).146.04</w:t>
        </w:r>
      </w:hyperlink>
    </w:p>
    <w:p w14:paraId="292AB3D6"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 xml:space="preserve">Organista N, Mazur Z, </w:t>
      </w:r>
      <w:proofErr w:type="spellStart"/>
      <w:r w:rsidRPr="004E4B93">
        <w:rPr>
          <w:color w:val="000000"/>
          <w:sz w:val="20"/>
          <w:szCs w:val="20"/>
        </w:rPr>
        <w:t>Doczi</w:t>
      </w:r>
      <w:proofErr w:type="spellEnd"/>
      <w:r w:rsidRPr="004E4B93">
        <w:rPr>
          <w:color w:val="000000"/>
          <w:sz w:val="20"/>
          <w:szCs w:val="20"/>
        </w:rPr>
        <w:t xml:space="preserve"> T. Our ladies versus our dominators: Gender differences and nationalist discourse in the Polish Olympic coverage. Phys Cult Sport Stud Res. 2020;87(1):9–23. DOI:</w:t>
      </w:r>
      <w:r w:rsidRPr="004E4B93">
        <w:rPr>
          <w:color w:val="000000"/>
        </w:rPr>
        <w:t xml:space="preserve"> </w:t>
      </w:r>
      <w:hyperlink r:id="rId28">
        <w:r w:rsidR="005A6581" w:rsidRPr="004E4B93">
          <w:rPr>
            <w:color w:val="1155CC"/>
            <w:sz w:val="20"/>
            <w:szCs w:val="20"/>
            <w:u w:val="single"/>
          </w:rPr>
          <w:t>https://doi.org/10.2478/pcssr-2020-0015</w:t>
        </w:r>
      </w:hyperlink>
    </w:p>
    <w:p w14:paraId="6641D103" w14:textId="77777777" w:rsidR="005A6581" w:rsidRPr="00627D4A" w:rsidRDefault="0064432F">
      <w:pPr>
        <w:numPr>
          <w:ilvl w:val="0"/>
          <w:numId w:val="1"/>
        </w:numPr>
        <w:pBdr>
          <w:top w:val="nil"/>
          <w:left w:val="nil"/>
          <w:bottom w:val="nil"/>
          <w:right w:val="nil"/>
          <w:between w:val="nil"/>
        </w:pBdr>
        <w:spacing w:line="276" w:lineRule="auto"/>
        <w:rPr>
          <w:color w:val="000000"/>
          <w:sz w:val="20"/>
          <w:szCs w:val="20"/>
          <w:lang w:val="pt-BR"/>
        </w:rPr>
      </w:pPr>
      <w:r w:rsidRPr="00627D4A">
        <w:rPr>
          <w:color w:val="000000"/>
          <w:sz w:val="20"/>
          <w:szCs w:val="20"/>
          <w:lang w:val="pt-BR"/>
        </w:rPr>
        <w:t>Gómez-</w:t>
      </w:r>
      <w:proofErr w:type="spellStart"/>
      <w:r w:rsidRPr="00627D4A">
        <w:rPr>
          <w:color w:val="000000"/>
          <w:sz w:val="20"/>
          <w:szCs w:val="20"/>
          <w:lang w:val="pt-BR"/>
        </w:rPr>
        <w:t>Colell</w:t>
      </w:r>
      <w:proofErr w:type="spellEnd"/>
      <w:r w:rsidRPr="00627D4A">
        <w:rPr>
          <w:color w:val="000000"/>
          <w:sz w:val="20"/>
          <w:szCs w:val="20"/>
          <w:lang w:val="pt-BR"/>
        </w:rPr>
        <w:t xml:space="preserve"> E. </w:t>
      </w:r>
      <w:proofErr w:type="spellStart"/>
      <w:r w:rsidRPr="00627D4A">
        <w:rPr>
          <w:color w:val="000000"/>
          <w:sz w:val="20"/>
          <w:szCs w:val="20"/>
          <w:lang w:val="pt-BR"/>
        </w:rPr>
        <w:t>Adolescencia</w:t>
      </w:r>
      <w:proofErr w:type="spellEnd"/>
      <w:r w:rsidRPr="00627D4A">
        <w:rPr>
          <w:color w:val="000000"/>
          <w:sz w:val="20"/>
          <w:szCs w:val="20"/>
          <w:lang w:val="pt-BR"/>
        </w:rPr>
        <w:t xml:space="preserve"> y deporte: </w:t>
      </w:r>
      <w:proofErr w:type="spellStart"/>
      <w:r w:rsidRPr="00627D4A">
        <w:rPr>
          <w:color w:val="000000"/>
          <w:sz w:val="20"/>
          <w:szCs w:val="20"/>
          <w:lang w:val="pt-BR"/>
        </w:rPr>
        <w:t>ausencia</w:t>
      </w:r>
      <w:proofErr w:type="spellEnd"/>
      <w:r w:rsidRPr="00627D4A">
        <w:rPr>
          <w:color w:val="000000"/>
          <w:sz w:val="20"/>
          <w:szCs w:val="20"/>
          <w:lang w:val="pt-BR"/>
        </w:rPr>
        <w:t xml:space="preserve"> de referentes </w:t>
      </w:r>
      <w:proofErr w:type="spellStart"/>
      <w:r w:rsidRPr="00627D4A">
        <w:rPr>
          <w:color w:val="000000"/>
          <w:sz w:val="20"/>
          <w:szCs w:val="20"/>
          <w:lang w:val="pt-BR"/>
        </w:rPr>
        <w:t>femeninos</w:t>
      </w:r>
      <w:proofErr w:type="spellEnd"/>
      <w:r w:rsidRPr="00627D4A">
        <w:rPr>
          <w:color w:val="000000"/>
          <w:sz w:val="20"/>
          <w:szCs w:val="20"/>
          <w:lang w:val="pt-BR"/>
        </w:rPr>
        <w:t xml:space="preserve"> </w:t>
      </w:r>
      <w:proofErr w:type="spellStart"/>
      <w:r w:rsidRPr="00627D4A">
        <w:rPr>
          <w:color w:val="000000"/>
          <w:sz w:val="20"/>
          <w:szCs w:val="20"/>
          <w:lang w:val="pt-BR"/>
        </w:rPr>
        <w:t>en</w:t>
      </w:r>
      <w:proofErr w:type="spellEnd"/>
      <w:r w:rsidRPr="00627D4A">
        <w:rPr>
          <w:color w:val="000000"/>
          <w:sz w:val="20"/>
          <w:szCs w:val="20"/>
          <w:lang w:val="pt-BR"/>
        </w:rPr>
        <w:t xml:space="preserve"> </w:t>
      </w:r>
      <w:proofErr w:type="spellStart"/>
      <w:r w:rsidRPr="00627D4A">
        <w:rPr>
          <w:color w:val="000000"/>
          <w:sz w:val="20"/>
          <w:szCs w:val="20"/>
          <w:lang w:val="pt-BR"/>
        </w:rPr>
        <w:t>los</w:t>
      </w:r>
      <w:proofErr w:type="spellEnd"/>
      <w:r w:rsidRPr="00627D4A">
        <w:rPr>
          <w:color w:val="000000"/>
          <w:sz w:val="20"/>
          <w:szCs w:val="20"/>
          <w:lang w:val="pt-BR"/>
        </w:rPr>
        <w:t xml:space="preserve"> </w:t>
      </w:r>
      <w:proofErr w:type="spellStart"/>
      <w:r w:rsidRPr="00627D4A">
        <w:rPr>
          <w:color w:val="000000"/>
          <w:sz w:val="20"/>
          <w:szCs w:val="20"/>
          <w:lang w:val="pt-BR"/>
        </w:rPr>
        <w:t>medios</w:t>
      </w:r>
      <w:proofErr w:type="spellEnd"/>
      <w:r w:rsidRPr="00627D4A">
        <w:rPr>
          <w:color w:val="000000"/>
          <w:sz w:val="20"/>
          <w:szCs w:val="20"/>
          <w:lang w:val="pt-BR"/>
        </w:rPr>
        <w:t xml:space="preserve"> para </w:t>
      </w:r>
      <w:proofErr w:type="spellStart"/>
      <w:r w:rsidRPr="00627D4A">
        <w:rPr>
          <w:color w:val="000000"/>
          <w:sz w:val="20"/>
          <w:szCs w:val="20"/>
          <w:lang w:val="pt-BR"/>
        </w:rPr>
        <w:t>las</w:t>
      </w:r>
      <w:proofErr w:type="spellEnd"/>
      <w:r w:rsidRPr="00627D4A">
        <w:rPr>
          <w:color w:val="000000"/>
          <w:sz w:val="20"/>
          <w:szCs w:val="20"/>
          <w:lang w:val="pt-BR"/>
        </w:rPr>
        <w:t xml:space="preserve"> adolescentes. </w:t>
      </w:r>
      <w:proofErr w:type="spellStart"/>
      <w:r w:rsidRPr="00627D4A">
        <w:rPr>
          <w:color w:val="000000"/>
          <w:sz w:val="20"/>
          <w:szCs w:val="20"/>
          <w:lang w:val="pt-BR"/>
        </w:rPr>
        <w:t>Apunts</w:t>
      </w:r>
      <w:proofErr w:type="spellEnd"/>
      <w:r w:rsidRPr="00627D4A">
        <w:rPr>
          <w:color w:val="000000"/>
          <w:sz w:val="20"/>
          <w:szCs w:val="20"/>
          <w:lang w:val="pt-BR"/>
        </w:rPr>
        <w:t xml:space="preserve"> </w:t>
      </w:r>
      <w:proofErr w:type="spellStart"/>
      <w:r w:rsidRPr="00627D4A">
        <w:rPr>
          <w:color w:val="000000"/>
          <w:sz w:val="20"/>
          <w:szCs w:val="20"/>
          <w:lang w:val="pt-BR"/>
        </w:rPr>
        <w:t>Educ</w:t>
      </w:r>
      <w:proofErr w:type="spellEnd"/>
      <w:r w:rsidRPr="00627D4A">
        <w:rPr>
          <w:color w:val="000000"/>
          <w:sz w:val="20"/>
          <w:szCs w:val="20"/>
          <w:lang w:val="pt-BR"/>
        </w:rPr>
        <w:t xml:space="preserve"> </w:t>
      </w:r>
      <w:proofErr w:type="spellStart"/>
      <w:r w:rsidRPr="00627D4A">
        <w:rPr>
          <w:color w:val="000000"/>
          <w:sz w:val="20"/>
          <w:szCs w:val="20"/>
          <w:lang w:val="pt-BR"/>
        </w:rPr>
        <w:t>Fís</w:t>
      </w:r>
      <w:proofErr w:type="spellEnd"/>
      <w:r w:rsidRPr="00627D4A">
        <w:rPr>
          <w:color w:val="000000"/>
          <w:sz w:val="20"/>
          <w:szCs w:val="20"/>
          <w:lang w:val="pt-BR"/>
        </w:rPr>
        <w:t xml:space="preserve"> Deportes. 2015;(122):81–7.DOI:</w:t>
      </w:r>
      <w:r w:rsidRPr="00627D4A">
        <w:rPr>
          <w:color w:val="000000"/>
          <w:lang w:val="pt-BR"/>
        </w:rPr>
        <w:t xml:space="preserve"> </w:t>
      </w:r>
      <w:hyperlink r:id="rId29">
        <w:r w:rsidR="005A6581" w:rsidRPr="00627D4A">
          <w:rPr>
            <w:color w:val="1155CC"/>
            <w:sz w:val="20"/>
            <w:szCs w:val="20"/>
            <w:u w:val="single"/>
            <w:lang w:val="pt-BR"/>
          </w:rPr>
          <w:t>https://doi.org/10.5672/apunts.2014-0983.es.(2015/4).122.09</w:t>
        </w:r>
      </w:hyperlink>
    </w:p>
    <w:p w14:paraId="05FC49BE"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proofErr w:type="spellStart"/>
      <w:r w:rsidRPr="00627D4A">
        <w:rPr>
          <w:color w:val="000000"/>
          <w:sz w:val="20"/>
          <w:szCs w:val="20"/>
          <w:lang w:val="pt-BR"/>
        </w:rPr>
        <w:t>Orfila</w:t>
      </w:r>
      <w:proofErr w:type="spellEnd"/>
      <w:r w:rsidRPr="00627D4A">
        <w:rPr>
          <w:color w:val="000000"/>
          <w:sz w:val="20"/>
          <w:szCs w:val="20"/>
          <w:lang w:val="pt-BR"/>
        </w:rPr>
        <w:t xml:space="preserve"> GM, Moya-Mata I. La </w:t>
      </w:r>
      <w:proofErr w:type="spellStart"/>
      <w:r w:rsidRPr="00627D4A">
        <w:rPr>
          <w:color w:val="000000"/>
          <w:sz w:val="20"/>
          <w:szCs w:val="20"/>
          <w:lang w:val="pt-BR"/>
        </w:rPr>
        <w:t>influencia</w:t>
      </w:r>
      <w:proofErr w:type="spellEnd"/>
      <w:r w:rsidRPr="00627D4A">
        <w:rPr>
          <w:color w:val="000000"/>
          <w:sz w:val="20"/>
          <w:szCs w:val="20"/>
          <w:lang w:val="pt-BR"/>
        </w:rPr>
        <w:t xml:space="preserve"> de </w:t>
      </w:r>
      <w:proofErr w:type="spellStart"/>
      <w:r w:rsidRPr="00627D4A">
        <w:rPr>
          <w:color w:val="000000"/>
          <w:sz w:val="20"/>
          <w:szCs w:val="20"/>
          <w:lang w:val="pt-BR"/>
        </w:rPr>
        <w:t>la</w:t>
      </w:r>
      <w:proofErr w:type="spellEnd"/>
      <w:r w:rsidRPr="00627D4A">
        <w:rPr>
          <w:color w:val="000000"/>
          <w:sz w:val="20"/>
          <w:szCs w:val="20"/>
          <w:lang w:val="pt-BR"/>
        </w:rPr>
        <w:t xml:space="preserve"> prensa </w:t>
      </w:r>
      <w:proofErr w:type="spellStart"/>
      <w:r w:rsidRPr="00627D4A">
        <w:rPr>
          <w:color w:val="000000"/>
          <w:sz w:val="20"/>
          <w:szCs w:val="20"/>
          <w:lang w:val="pt-BR"/>
        </w:rPr>
        <w:t>deportiva</w:t>
      </w:r>
      <w:proofErr w:type="spellEnd"/>
      <w:r w:rsidRPr="00627D4A">
        <w:rPr>
          <w:color w:val="000000"/>
          <w:sz w:val="20"/>
          <w:szCs w:val="20"/>
          <w:lang w:val="pt-BR"/>
        </w:rPr>
        <w:t xml:space="preserve"> </w:t>
      </w:r>
      <w:proofErr w:type="spellStart"/>
      <w:r w:rsidRPr="00627D4A">
        <w:rPr>
          <w:color w:val="000000"/>
          <w:sz w:val="20"/>
          <w:szCs w:val="20"/>
          <w:lang w:val="pt-BR"/>
        </w:rPr>
        <w:t>en</w:t>
      </w:r>
      <w:proofErr w:type="spellEnd"/>
      <w:r w:rsidRPr="00627D4A">
        <w:rPr>
          <w:color w:val="000000"/>
          <w:sz w:val="20"/>
          <w:szCs w:val="20"/>
          <w:lang w:val="pt-BR"/>
        </w:rPr>
        <w:t xml:space="preserve"> </w:t>
      </w:r>
      <w:proofErr w:type="spellStart"/>
      <w:r w:rsidRPr="00627D4A">
        <w:rPr>
          <w:color w:val="000000"/>
          <w:sz w:val="20"/>
          <w:szCs w:val="20"/>
          <w:lang w:val="pt-BR"/>
        </w:rPr>
        <w:t>el</w:t>
      </w:r>
      <w:proofErr w:type="spellEnd"/>
      <w:r w:rsidRPr="00627D4A">
        <w:rPr>
          <w:color w:val="000000"/>
          <w:sz w:val="20"/>
          <w:szCs w:val="20"/>
          <w:lang w:val="pt-BR"/>
        </w:rPr>
        <w:t xml:space="preserve"> </w:t>
      </w:r>
      <w:proofErr w:type="spellStart"/>
      <w:r w:rsidRPr="00627D4A">
        <w:rPr>
          <w:color w:val="000000"/>
          <w:sz w:val="20"/>
          <w:szCs w:val="20"/>
          <w:lang w:val="pt-BR"/>
        </w:rPr>
        <w:t>alumnado</w:t>
      </w:r>
      <w:proofErr w:type="spellEnd"/>
      <w:r w:rsidRPr="00627D4A">
        <w:rPr>
          <w:color w:val="000000"/>
          <w:sz w:val="20"/>
          <w:szCs w:val="20"/>
          <w:lang w:val="pt-BR"/>
        </w:rPr>
        <w:t xml:space="preserve"> de sexto </w:t>
      </w:r>
      <w:proofErr w:type="gramStart"/>
      <w:r w:rsidRPr="00627D4A">
        <w:rPr>
          <w:color w:val="000000"/>
          <w:sz w:val="20"/>
          <w:szCs w:val="20"/>
          <w:lang w:val="pt-BR"/>
        </w:rPr>
        <w:t>de Primaria</w:t>
      </w:r>
      <w:proofErr w:type="gramEnd"/>
      <w:r w:rsidRPr="00627D4A">
        <w:rPr>
          <w:color w:val="000000"/>
          <w:sz w:val="20"/>
          <w:szCs w:val="20"/>
          <w:lang w:val="pt-BR"/>
        </w:rPr>
        <w:t xml:space="preserve">. In: Ros C, editor. Retos </w:t>
      </w:r>
      <w:proofErr w:type="spellStart"/>
      <w:r w:rsidRPr="00627D4A">
        <w:rPr>
          <w:color w:val="000000"/>
          <w:sz w:val="20"/>
          <w:szCs w:val="20"/>
          <w:lang w:val="pt-BR"/>
        </w:rPr>
        <w:t>actuales</w:t>
      </w:r>
      <w:proofErr w:type="spellEnd"/>
      <w:r w:rsidRPr="00627D4A">
        <w:rPr>
          <w:color w:val="000000"/>
          <w:sz w:val="20"/>
          <w:szCs w:val="20"/>
          <w:lang w:val="pt-BR"/>
        </w:rPr>
        <w:t xml:space="preserve"> y futuros de </w:t>
      </w:r>
      <w:proofErr w:type="spellStart"/>
      <w:r w:rsidRPr="00627D4A">
        <w:rPr>
          <w:color w:val="000000"/>
          <w:sz w:val="20"/>
          <w:szCs w:val="20"/>
          <w:lang w:val="pt-BR"/>
        </w:rPr>
        <w:t>la</w:t>
      </w:r>
      <w:proofErr w:type="spellEnd"/>
      <w:r w:rsidRPr="00627D4A">
        <w:rPr>
          <w:color w:val="000000"/>
          <w:sz w:val="20"/>
          <w:szCs w:val="20"/>
          <w:lang w:val="pt-BR"/>
        </w:rPr>
        <w:t xml:space="preserve"> </w:t>
      </w:r>
      <w:proofErr w:type="spellStart"/>
      <w:r w:rsidRPr="00627D4A">
        <w:rPr>
          <w:color w:val="000000"/>
          <w:sz w:val="20"/>
          <w:szCs w:val="20"/>
          <w:lang w:val="pt-BR"/>
        </w:rPr>
        <w:t>actividad</w:t>
      </w:r>
      <w:proofErr w:type="spellEnd"/>
      <w:r w:rsidRPr="00627D4A">
        <w:rPr>
          <w:color w:val="000000"/>
          <w:sz w:val="20"/>
          <w:szCs w:val="20"/>
          <w:lang w:val="pt-BR"/>
        </w:rPr>
        <w:t xml:space="preserve"> física y </w:t>
      </w:r>
      <w:proofErr w:type="spellStart"/>
      <w:r w:rsidRPr="00627D4A">
        <w:rPr>
          <w:color w:val="000000"/>
          <w:sz w:val="20"/>
          <w:szCs w:val="20"/>
          <w:lang w:val="pt-BR"/>
        </w:rPr>
        <w:t>el</w:t>
      </w:r>
      <w:proofErr w:type="spellEnd"/>
      <w:r w:rsidRPr="00627D4A">
        <w:rPr>
          <w:color w:val="000000"/>
          <w:sz w:val="20"/>
          <w:szCs w:val="20"/>
          <w:lang w:val="pt-BR"/>
        </w:rPr>
        <w:t xml:space="preserve"> deporte. </w:t>
      </w:r>
      <w:r w:rsidRPr="004E4B93">
        <w:rPr>
          <w:color w:val="000000"/>
          <w:sz w:val="20"/>
          <w:szCs w:val="20"/>
        </w:rPr>
        <w:t xml:space="preserve">Sevilla: </w:t>
      </w:r>
      <w:proofErr w:type="spellStart"/>
      <w:r w:rsidRPr="004E4B93">
        <w:rPr>
          <w:color w:val="000000"/>
          <w:sz w:val="20"/>
          <w:szCs w:val="20"/>
        </w:rPr>
        <w:t>Wanceulen</w:t>
      </w:r>
      <w:proofErr w:type="spellEnd"/>
      <w:r w:rsidRPr="004E4B93">
        <w:rPr>
          <w:color w:val="000000"/>
          <w:sz w:val="20"/>
          <w:szCs w:val="20"/>
        </w:rPr>
        <w:t>; 2021. p. 279–90.</w:t>
      </w:r>
    </w:p>
    <w:p w14:paraId="3AA5B5D8"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t xml:space="preserve">Moya-Mata I, Ros C, </w:t>
      </w:r>
      <w:proofErr w:type="spellStart"/>
      <w:r w:rsidRPr="00627D4A">
        <w:rPr>
          <w:color w:val="000000"/>
          <w:sz w:val="20"/>
          <w:szCs w:val="20"/>
          <w:lang w:val="pt-BR"/>
        </w:rPr>
        <w:t>Peirats</w:t>
      </w:r>
      <w:proofErr w:type="spellEnd"/>
      <w:r w:rsidRPr="00627D4A">
        <w:rPr>
          <w:color w:val="000000"/>
          <w:sz w:val="20"/>
          <w:szCs w:val="20"/>
          <w:lang w:val="pt-BR"/>
        </w:rPr>
        <w:t xml:space="preserve"> J. ¿</w:t>
      </w:r>
      <w:proofErr w:type="spellStart"/>
      <w:r w:rsidRPr="00627D4A">
        <w:rPr>
          <w:color w:val="000000"/>
          <w:sz w:val="20"/>
          <w:szCs w:val="20"/>
          <w:lang w:val="pt-BR"/>
        </w:rPr>
        <w:t>Qué</w:t>
      </w:r>
      <w:proofErr w:type="spellEnd"/>
      <w:r w:rsidRPr="00627D4A">
        <w:rPr>
          <w:color w:val="000000"/>
          <w:sz w:val="20"/>
          <w:szCs w:val="20"/>
          <w:lang w:val="pt-BR"/>
        </w:rPr>
        <w:t xml:space="preserve"> </w:t>
      </w:r>
      <w:proofErr w:type="spellStart"/>
      <w:r w:rsidRPr="00627D4A">
        <w:rPr>
          <w:color w:val="000000"/>
          <w:sz w:val="20"/>
          <w:szCs w:val="20"/>
          <w:lang w:val="pt-BR"/>
        </w:rPr>
        <w:t>representan</w:t>
      </w:r>
      <w:proofErr w:type="spellEnd"/>
      <w:r w:rsidRPr="00627D4A">
        <w:rPr>
          <w:color w:val="000000"/>
          <w:sz w:val="20"/>
          <w:szCs w:val="20"/>
          <w:lang w:val="pt-BR"/>
        </w:rPr>
        <w:t xml:space="preserve"> </w:t>
      </w:r>
      <w:proofErr w:type="spellStart"/>
      <w:r w:rsidRPr="00627D4A">
        <w:rPr>
          <w:color w:val="000000"/>
          <w:sz w:val="20"/>
          <w:szCs w:val="20"/>
          <w:lang w:val="pt-BR"/>
        </w:rPr>
        <w:t>las</w:t>
      </w:r>
      <w:proofErr w:type="spellEnd"/>
      <w:r w:rsidRPr="00627D4A">
        <w:rPr>
          <w:color w:val="000000"/>
          <w:sz w:val="20"/>
          <w:szCs w:val="20"/>
          <w:lang w:val="pt-BR"/>
        </w:rPr>
        <w:t xml:space="preserve"> portadas de </w:t>
      </w:r>
      <w:proofErr w:type="spellStart"/>
      <w:r w:rsidRPr="00627D4A">
        <w:rPr>
          <w:color w:val="000000"/>
          <w:sz w:val="20"/>
          <w:szCs w:val="20"/>
          <w:lang w:val="pt-BR"/>
        </w:rPr>
        <w:t>los</w:t>
      </w:r>
      <w:proofErr w:type="spellEnd"/>
      <w:r w:rsidRPr="00627D4A">
        <w:rPr>
          <w:color w:val="000000"/>
          <w:sz w:val="20"/>
          <w:szCs w:val="20"/>
          <w:lang w:val="pt-BR"/>
        </w:rPr>
        <w:t xml:space="preserve"> </w:t>
      </w:r>
      <w:proofErr w:type="spellStart"/>
      <w:r w:rsidRPr="00627D4A">
        <w:rPr>
          <w:color w:val="000000"/>
          <w:sz w:val="20"/>
          <w:szCs w:val="20"/>
          <w:lang w:val="pt-BR"/>
        </w:rPr>
        <w:t>libros</w:t>
      </w:r>
      <w:proofErr w:type="spellEnd"/>
      <w:r w:rsidRPr="00627D4A">
        <w:rPr>
          <w:color w:val="000000"/>
          <w:sz w:val="20"/>
          <w:szCs w:val="20"/>
          <w:lang w:val="pt-BR"/>
        </w:rPr>
        <w:t xml:space="preserve"> de texto de </w:t>
      </w:r>
      <w:proofErr w:type="spellStart"/>
      <w:r w:rsidRPr="00627D4A">
        <w:rPr>
          <w:color w:val="000000"/>
          <w:sz w:val="20"/>
          <w:szCs w:val="20"/>
          <w:lang w:val="pt-BR"/>
        </w:rPr>
        <w:t>Educación</w:t>
      </w:r>
      <w:proofErr w:type="spellEnd"/>
      <w:r w:rsidRPr="00627D4A">
        <w:rPr>
          <w:color w:val="000000"/>
          <w:sz w:val="20"/>
          <w:szCs w:val="20"/>
          <w:lang w:val="pt-BR"/>
        </w:rPr>
        <w:t xml:space="preserve"> Física </w:t>
      </w:r>
      <w:proofErr w:type="spellStart"/>
      <w:r w:rsidRPr="00627D4A">
        <w:rPr>
          <w:color w:val="000000"/>
          <w:sz w:val="20"/>
          <w:szCs w:val="20"/>
          <w:lang w:val="pt-BR"/>
        </w:rPr>
        <w:t>en</w:t>
      </w:r>
      <w:proofErr w:type="spellEnd"/>
      <w:r w:rsidRPr="00627D4A">
        <w:rPr>
          <w:color w:val="000000"/>
          <w:sz w:val="20"/>
          <w:szCs w:val="20"/>
          <w:lang w:val="pt-BR"/>
        </w:rPr>
        <w:t xml:space="preserve"> Primaria? </w:t>
      </w:r>
      <w:proofErr w:type="spellStart"/>
      <w:r w:rsidRPr="004E4B93">
        <w:rPr>
          <w:color w:val="000000"/>
          <w:sz w:val="20"/>
          <w:szCs w:val="20"/>
        </w:rPr>
        <w:t>Retos</w:t>
      </w:r>
      <w:proofErr w:type="spellEnd"/>
      <w:r w:rsidRPr="004E4B93">
        <w:rPr>
          <w:color w:val="000000"/>
          <w:sz w:val="20"/>
          <w:szCs w:val="20"/>
        </w:rPr>
        <w:t>. 2018;(34):295–9. DOI:</w:t>
      </w:r>
      <w:r w:rsidRPr="004E4B93">
        <w:rPr>
          <w:color w:val="000000"/>
        </w:rPr>
        <w:t xml:space="preserve"> </w:t>
      </w:r>
      <w:hyperlink r:id="rId30">
        <w:r w:rsidR="005A6581" w:rsidRPr="004E4B93">
          <w:rPr>
            <w:color w:val="1155CC"/>
            <w:sz w:val="20"/>
            <w:szCs w:val="20"/>
            <w:u w:val="single"/>
          </w:rPr>
          <w:t>https://doi.org/10.47197/retos.v0i34.63412</w:t>
        </w:r>
      </w:hyperlink>
    </w:p>
    <w:p w14:paraId="023E05AD"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t xml:space="preserve">González-Palomares A, </w:t>
      </w:r>
      <w:proofErr w:type="spellStart"/>
      <w:r w:rsidRPr="00627D4A">
        <w:rPr>
          <w:color w:val="000000"/>
          <w:sz w:val="20"/>
          <w:szCs w:val="20"/>
          <w:lang w:val="pt-BR"/>
        </w:rPr>
        <w:t>Táboas</w:t>
      </w:r>
      <w:proofErr w:type="spellEnd"/>
      <w:r w:rsidRPr="00627D4A">
        <w:rPr>
          <w:color w:val="000000"/>
          <w:sz w:val="20"/>
          <w:szCs w:val="20"/>
          <w:lang w:val="pt-BR"/>
        </w:rPr>
        <w:t>-</w:t>
      </w:r>
      <w:proofErr w:type="gramStart"/>
      <w:r w:rsidRPr="00627D4A">
        <w:rPr>
          <w:color w:val="000000"/>
          <w:sz w:val="20"/>
          <w:szCs w:val="20"/>
          <w:lang w:val="pt-BR"/>
        </w:rPr>
        <w:t>Pais</w:t>
      </w:r>
      <w:proofErr w:type="gramEnd"/>
      <w:r w:rsidRPr="00627D4A">
        <w:rPr>
          <w:color w:val="000000"/>
          <w:sz w:val="20"/>
          <w:szCs w:val="20"/>
          <w:lang w:val="pt-BR"/>
        </w:rPr>
        <w:t xml:space="preserve"> MI, Rey-Cao A. La cultura corporal </w:t>
      </w:r>
      <w:proofErr w:type="spellStart"/>
      <w:r w:rsidRPr="00627D4A">
        <w:rPr>
          <w:color w:val="000000"/>
          <w:sz w:val="20"/>
          <w:szCs w:val="20"/>
          <w:lang w:val="pt-BR"/>
        </w:rPr>
        <w:t>en</w:t>
      </w:r>
      <w:proofErr w:type="spellEnd"/>
      <w:r w:rsidRPr="00627D4A">
        <w:rPr>
          <w:color w:val="000000"/>
          <w:sz w:val="20"/>
          <w:szCs w:val="20"/>
          <w:lang w:val="pt-BR"/>
        </w:rPr>
        <w:t xml:space="preserve"> </w:t>
      </w:r>
      <w:proofErr w:type="spellStart"/>
      <w:r w:rsidRPr="00627D4A">
        <w:rPr>
          <w:color w:val="000000"/>
          <w:sz w:val="20"/>
          <w:szCs w:val="20"/>
          <w:lang w:val="pt-BR"/>
        </w:rPr>
        <w:t>función</w:t>
      </w:r>
      <w:proofErr w:type="spellEnd"/>
      <w:r w:rsidRPr="00627D4A">
        <w:rPr>
          <w:color w:val="000000"/>
          <w:sz w:val="20"/>
          <w:szCs w:val="20"/>
          <w:lang w:val="pt-BR"/>
        </w:rPr>
        <w:t xml:space="preserve"> </w:t>
      </w:r>
      <w:proofErr w:type="spellStart"/>
      <w:r w:rsidRPr="00627D4A">
        <w:rPr>
          <w:color w:val="000000"/>
          <w:sz w:val="20"/>
          <w:szCs w:val="20"/>
          <w:lang w:val="pt-BR"/>
        </w:rPr>
        <w:t>del</w:t>
      </w:r>
      <w:proofErr w:type="spellEnd"/>
      <w:r w:rsidRPr="00627D4A">
        <w:rPr>
          <w:color w:val="000000"/>
          <w:sz w:val="20"/>
          <w:szCs w:val="20"/>
          <w:lang w:val="pt-BR"/>
        </w:rPr>
        <w:t xml:space="preserve"> género: </w:t>
      </w:r>
      <w:proofErr w:type="spellStart"/>
      <w:r w:rsidRPr="00627D4A">
        <w:rPr>
          <w:color w:val="000000"/>
          <w:sz w:val="20"/>
          <w:szCs w:val="20"/>
          <w:lang w:val="pt-BR"/>
        </w:rPr>
        <w:t>Análisis</w:t>
      </w:r>
      <w:proofErr w:type="spellEnd"/>
      <w:r w:rsidRPr="00627D4A">
        <w:rPr>
          <w:color w:val="000000"/>
          <w:sz w:val="20"/>
          <w:szCs w:val="20"/>
          <w:lang w:val="pt-BR"/>
        </w:rPr>
        <w:t xml:space="preserve"> de </w:t>
      </w:r>
      <w:proofErr w:type="spellStart"/>
      <w:r w:rsidRPr="00627D4A">
        <w:rPr>
          <w:color w:val="000000"/>
          <w:sz w:val="20"/>
          <w:szCs w:val="20"/>
          <w:lang w:val="pt-BR"/>
        </w:rPr>
        <w:t>los</w:t>
      </w:r>
      <w:proofErr w:type="spellEnd"/>
      <w:r w:rsidRPr="00627D4A">
        <w:rPr>
          <w:color w:val="000000"/>
          <w:sz w:val="20"/>
          <w:szCs w:val="20"/>
          <w:lang w:val="pt-BR"/>
        </w:rPr>
        <w:t xml:space="preserve"> </w:t>
      </w:r>
      <w:proofErr w:type="spellStart"/>
      <w:r w:rsidRPr="00627D4A">
        <w:rPr>
          <w:color w:val="000000"/>
          <w:sz w:val="20"/>
          <w:szCs w:val="20"/>
          <w:lang w:val="pt-BR"/>
        </w:rPr>
        <w:t>libros</w:t>
      </w:r>
      <w:proofErr w:type="spellEnd"/>
      <w:r w:rsidRPr="00627D4A">
        <w:rPr>
          <w:color w:val="000000"/>
          <w:sz w:val="20"/>
          <w:szCs w:val="20"/>
          <w:lang w:val="pt-BR"/>
        </w:rPr>
        <w:t xml:space="preserve"> de texto de </w:t>
      </w:r>
      <w:proofErr w:type="spellStart"/>
      <w:r w:rsidRPr="00627D4A">
        <w:rPr>
          <w:color w:val="000000"/>
          <w:sz w:val="20"/>
          <w:szCs w:val="20"/>
          <w:lang w:val="pt-BR"/>
        </w:rPr>
        <w:t>educación</w:t>
      </w:r>
      <w:proofErr w:type="spellEnd"/>
      <w:r w:rsidRPr="00627D4A">
        <w:rPr>
          <w:color w:val="000000"/>
          <w:sz w:val="20"/>
          <w:szCs w:val="20"/>
          <w:lang w:val="pt-BR"/>
        </w:rPr>
        <w:t xml:space="preserve"> física de secundaria publicados durante </w:t>
      </w:r>
      <w:proofErr w:type="spellStart"/>
      <w:r w:rsidRPr="00627D4A">
        <w:rPr>
          <w:color w:val="000000"/>
          <w:sz w:val="20"/>
          <w:szCs w:val="20"/>
          <w:lang w:val="pt-BR"/>
        </w:rPr>
        <w:t>la</w:t>
      </w:r>
      <w:proofErr w:type="spellEnd"/>
      <w:r w:rsidRPr="00627D4A">
        <w:rPr>
          <w:color w:val="000000"/>
          <w:sz w:val="20"/>
          <w:szCs w:val="20"/>
          <w:lang w:val="pt-BR"/>
        </w:rPr>
        <w:t xml:space="preserve"> </w:t>
      </w:r>
      <w:proofErr w:type="spellStart"/>
      <w:r w:rsidRPr="00627D4A">
        <w:rPr>
          <w:color w:val="000000"/>
          <w:sz w:val="20"/>
          <w:szCs w:val="20"/>
          <w:lang w:val="pt-BR"/>
        </w:rPr>
        <w:t>ley</w:t>
      </w:r>
      <w:proofErr w:type="spellEnd"/>
      <w:r w:rsidRPr="00627D4A">
        <w:rPr>
          <w:color w:val="000000"/>
          <w:sz w:val="20"/>
          <w:szCs w:val="20"/>
          <w:lang w:val="pt-BR"/>
        </w:rPr>
        <w:t xml:space="preserve"> </w:t>
      </w:r>
      <w:proofErr w:type="spellStart"/>
      <w:r w:rsidRPr="00627D4A">
        <w:rPr>
          <w:color w:val="000000"/>
          <w:sz w:val="20"/>
          <w:szCs w:val="20"/>
          <w:lang w:val="pt-BR"/>
        </w:rPr>
        <w:t>orgánica</w:t>
      </w:r>
      <w:proofErr w:type="spellEnd"/>
      <w:r w:rsidRPr="00627D4A">
        <w:rPr>
          <w:color w:val="000000"/>
          <w:sz w:val="20"/>
          <w:szCs w:val="20"/>
          <w:lang w:val="pt-BR"/>
        </w:rPr>
        <w:t xml:space="preserve"> de </w:t>
      </w:r>
      <w:proofErr w:type="spellStart"/>
      <w:r w:rsidRPr="00627D4A">
        <w:rPr>
          <w:color w:val="000000"/>
          <w:sz w:val="20"/>
          <w:szCs w:val="20"/>
          <w:lang w:val="pt-BR"/>
        </w:rPr>
        <w:t>educación</w:t>
      </w:r>
      <w:proofErr w:type="spellEnd"/>
      <w:r w:rsidRPr="00627D4A">
        <w:rPr>
          <w:color w:val="000000"/>
          <w:sz w:val="20"/>
          <w:szCs w:val="20"/>
          <w:lang w:val="pt-BR"/>
        </w:rPr>
        <w:t xml:space="preserve">. </w:t>
      </w:r>
      <w:proofErr w:type="spellStart"/>
      <w:r w:rsidRPr="004E4B93">
        <w:rPr>
          <w:color w:val="000000"/>
          <w:sz w:val="20"/>
          <w:szCs w:val="20"/>
        </w:rPr>
        <w:t>Educ</w:t>
      </w:r>
      <w:proofErr w:type="spellEnd"/>
      <w:r w:rsidRPr="004E4B93">
        <w:rPr>
          <w:color w:val="000000"/>
          <w:sz w:val="20"/>
          <w:szCs w:val="20"/>
        </w:rPr>
        <w:t xml:space="preserve"> XX1. 2017;20(1):141–62. DOI:</w:t>
      </w:r>
      <w:r w:rsidRPr="004E4B93">
        <w:rPr>
          <w:color w:val="000000"/>
        </w:rPr>
        <w:t xml:space="preserve"> </w:t>
      </w:r>
      <w:hyperlink r:id="rId31">
        <w:r w:rsidR="005A6581" w:rsidRPr="004E4B93">
          <w:rPr>
            <w:color w:val="1155CC"/>
            <w:sz w:val="20"/>
            <w:szCs w:val="20"/>
            <w:u w:val="single"/>
          </w:rPr>
          <w:t>https://doi.org/10.5944/educXX1.13980</w:t>
        </w:r>
      </w:hyperlink>
    </w:p>
    <w:p w14:paraId="206C6809"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t xml:space="preserve">Bianchi P, Pires GL. Cultura digital y </w:t>
      </w:r>
      <w:proofErr w:type="spellStart"/>
      <w:r w:rsidRPr="00627D4A">
        <w:rPr>
          <w:color w:val="000000"/>
          <w:sz w:val="20"/>
          <w:szCs w:val="20"/>
          <w:lang w:val="pt-BR"/>
        </w:rPr>
        <w:t>formación</w:t>
      </w:r>
      <w:proofErr w:type="spellEnd"/>
      <w:r w:rsidRPr="00627D4A">
        <w:rPr>
          <w:color w:val="000000"/>
          <w:sz w:val="20"/>
          <w:szCs w:val="20"/>
          <w:lang w:val="pt-BR"/>
        </w:rPr>
        <w:t xml:space="preserve"> de </w:t>
      </w:r>
      <w:proofErr w:type="spellStart"/>
      <w:r w:rsidRPr="00627D4A">
        <w:rPr>
          <w:color w:val="000000"/>
          <w:sz w:val="20"/>
          <w:szCs w:val="20"/>
          <w:lang w:val="pt-BR"/>
        </w:rPr>
        <w:t>profesores</w:t>
      </w:r>
      <w:proofErr w:type="spellEnd"/>
      <w:r w:rsidRPr="00627D4A">
        <w:rPr>
          <w:color w:val="000000"/>
          <w:sz w:val="20"/>
          <w:szCs w:val="20"/>
          <w:lang w:val="pt-BR"/>
        </w:rPr>
        <w:t xml:space="preserve"> de </w:t>
      </w:r>
      <w:proofErr w:type="spellStart"/>
      <w:r w:rsidRPr="00627D4A">
        <w:rPr>
          <w:color w:val="000000"/>
          <w:sz w:val="20"/>
          <w:szCs w:val="20"/>
          <w:lang w:val="pt-BR"/>
        </w:rPr>
        <w:t>Educación</w:t>
      </w:r>
      <w:proofErr w:type="spellEnd"/>
      <w:r w:rsidRPr="00627D4A">
        <w:rPr>
          <w:color w:val="000000"/>
          <w:sz w:val="20"/>
          <w:szCs w:val="20"/>
          <w:lang w:val="pt-BR"/>
        </w:rPr>
        <w:t xml:space="preserve"> Física: </w:t>
      </w:r>
      <w:proofErr w:type="spellStart"/>
      <w:r w:rsidRPr="00627D4A">
        <w:rPr>
          <w:color w:val="000000"/>
          <w:sz w:val="20"/>
          <w:szCs w:val="20"/>
          <w:lang w:val="pt-BR"/>
        </w:rPr>
        <w:t>estudio</w:t>
      </w:r>
      <w:proofErr w:type="spellEnd"/>
      <w:r w:rsidRPr="00627D4A">
        <w:rPr>
          <w:color w:val="000000"/>
          <w:sz w:val="20"/>
          <w:szCs w:val="20"/>
          <w:lang w:val="pt-BR"/>
        </w:rPr>
        <w:t xml:space="preserve"> de caso </w:t>
      </w:r>
      <w:proofErr w:type="spellStart"/>
      <w:r w:rsidRPr="00627D4A">
        <w:rPr>
          <w:color w:val="000000"/>
          <w:sz w:val="20"/>
          <w:szCs w:val="20"/>
          <w:lang w:val="pt-BR"/>
        </w:rPr>
        <w:t>en</w:t>
      </w:r>
      <w:proofErr w:type="spellEnd"/>
      <w:r w:rsidRPr="00627D4A">
        <w:rPr>
          <w:color w:val="000000"/>
          <w:sz w:val="20"/>
          <w:szCs w:val="20"/>
          <w:lang w:val="pt-BR"/>
        </w:rPr>
        <w:t xml:space="preserve"> </w:t>
      </w:r>
      <w:proofErr w:type="spellStart"/>
      <w:r w:rsidRPr="00627D4A">
        <w:rPr>
          <w:color w:val="000000"/>
          <w:sz w:val="20"/>
          <w:szCs w:val="20"/>
          <w:lang w:val="pt-BR"/>
        </w:rPr>
        <w:t>la</w:t>
      </w:r>
      <w:proofErr w:type="spellEnd"/>
      <w:r w:rsidRPr="00627D4A">
        <w:rPr>
          <w:color w:val="000000"/>
          <w:sz w:val="20"/>
          <w:szCs w:val="20"/>
          <w:lang w:val="pt-BR"/>
        </w:rPr>
        <w:t xml:space="preserve"> </w:t>
      </w:r>
      <w:proofErr w:type="spellStart"/>
      <w:r w:rsidRPr="00627D4A">
        <w:rPr>
          <w:color w:val="000000"/>
          <w:sz w:val="20"/>
          <w:szCs w:val="20"/>
          <w:lang w:val="pt-BR"/>
        </w:rPr>
        <w:t>Unipampa</w:t>
      </w:r>
      <w:proofErr w:type="spellEnd"/>
      <w:r w:rsidRPr="00627D4A">
        <w:rPr>
          <w:color w:val="000000"/>
          <w:sz w:val="20"/>
          <w:szCs w:val="20"/>
          <w:lang w:val="pt-BR"/>
        </w:rPr>
        <w:t xml:space="preserve">. </w:t>
      </w:r>
      <w:proofErr w:type="spellStart"/>
      <w:r w:rsidRPr="004E4B93">
        <w:rPr>
          <w:color w:val="000000"/>
          <w:sz w:val="20"/>
          <w:szCs w:val="20"/>
        </w:rPr>
        <w:t>Movimento</w:t>
      </w:r>
      <w:proofErr w:type="spellEnd"/>
      <w:r w:rsidRPr="004E4B93">
        <w:rPr>
          <w:color w:val="000000"/>
          <w:sz w:val="20"/>
          <w:szCs w:val="20"/>
        </w:rPr>
        <w:t>. 2015;21(4):1025–36. DOI:</w:t>
      </w:r>
      <w:r w:rsidRPr="004E4B93">
        <w:rPr>
          <w:color w:val="000000"/>
        </w:rPr>
        <w:t xml:space="preserve"> </w:t>
      </w:r>
      <w:hyperlink r:id="rId32">
        <w:r w:rsidR="005A6581" w:rsidRPr="004E4B93">
          <w:rPr>
            <w:color w:val="1155CC"/>
            <w:sz w:val="20"/>
            <w:szCs w:val="20"/>
            <w:u w:val="single"/>
          </w:rPr>
          <w:t>https://doi.org/10.22456/1982-8918.53778</w:t>
        </w:r>
      </w:hyperlink>
    </w:p>
    <w:p w14:paraId="79DFDEDC"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lastRenderedPageBreak/>
        <w:t xml:space="preserve">Gutiérrez-Martín A, Tyner K. Media </w:t>
      </w:r>
      <w:proofErr w:type="spellStart"/>
      <w:r w:rsidRPr="00627D4A">
        <w:rPr>
          <w:color w:val="000000"/>
          <w:sz w:val="20"/>
          <w:szCs w:val="20"/>
          <w:lang w:val="pt-BR"/>
        </w:rPr>
        <w:t>education</w:t>
      </w:r>
      <w:proofErr w:type="spellEnd"/>
      <w:r w:rsidRPr="00627D4A">
        <w:rPr>
          <w:color w:val="000000"/>
          <w:sz w:val="20"/>
          <w:szCs w:val="20"/>
          <w:lang w:val="pt-BR"/>
        </w:rPr>
        <w:t xml:space="preserve">, media </w:t>
      </w:r>
      <w:proofErr w:type="spellStart"/>
      <w:r w:rsidRPr="00627D4A">
        <w:rPr>
          <w:color w:val="000000"/>
          <w:sz w:val="20"/>
          <w:szCs w:val="20"/>
          <w:lang w:val="pt-BR"/>
        </w:rPr>
        <w:t>literacy</w:t>
      </w:r>
      <w:proofErr w:type="spellEnd"/>
      <w:r w:rsidRPr="00627D4A">
        <w:rPr>
          <w:color w:val="000000"/>
          <w:sz w:val="20"/>
          <w:szCs w:val="20"/>
          <w:lang w:val="pt-BR"/>
        </w:rPr>
        <w:t xml:space="preserve"> </w:t>
      </w:r>
      <w:proofErr w:type="spellStart"/>
      <w:r w:rsidRPr="00627D4A">
        <w:rPr>
          <w:color w:val="000000"/>
          <w:sz w:val="20"/>
          <w:szCs w:val="20"/>
          <w:lang w:val="pt-BR"/>
        </w:rPr>
        <w:t>and</w:t>
      </w:r>
      <w:proofErr w:type="spellEnd"/>
      <w:r w:rsidRPr="00627D4A">
        <w:rPr>
          <w:color w:val="000000"/>
          <w:sz w:val="20"/>
          <w:szCs w:val="20"/>
          <w:lang w:val="pt-BR"/>
        </w:rPr>
        <w:t xml:space="preserve"> digital </w:t>
      </w:r>
      <w:proofErr w:type="spellStart"/>
      <w:r w:rsidRPr="00627D4A">
        <w:rPr>
          <w:color w:val="000000"/>
          <w:sz w:val="20"/>
          <w:szCs w:val="20"/>
          <w:lang w:val="pt-BR"/>
        </w:rPr>
        <w:t>competence</w:t>
      </w:r>
      <w:proofErr w:type="spellEnd"/>
      <w:r w:rsidRPr="00627D4A">
        <w:rPr>
          <w:color w:val="000000"/>
          <w:sz w:val="20"/>
          <w:szCs w:val="20"/>
          <w:lang w:val="pt-BR"/>
        </w:rPr>
        <w:t xml:space="preserve"> [</w:t>
      </w:r>
      <w:proofErr w:type="spellStart"/>
      <w:r w:rsidRPr="00627D4A">
        <w:rPr>
          <w:color w:val="000000"/>
          <w:sz w:val="20"/>
          <w:szCs w:val="20"/>
          <w:lang w:val="pt-BR"/>
        </w:rPr>
        <w:t>Educación</w:t>
      </w:r>
      <w:proofErr w:type="spellEnd"/>
      <w:r w:rsidRPr="00627D4A">
        <w:rPr>
          <w:color w:val="000000"/>
          <w:sz w:val="20"/>
          <w:szCs w:val="20"/>
          <w:lang w:val="pt-BR"/>
        </w:rPr>
        <w:t xml:space="preserve"> para </w:t>
      </w:r>
      <w:proofErr w:type="spellStart"/>
      <w:r w:rsidRPr="00627D4A">
        <w:rPr>
          <w:color w:val="000000"/>
          <w:sz w:val="20"/>
          <w:szCs w:val="20"/>
          <w:lang w:val="pt-BR"/>
        </w:rPr>
        <w:t>los</w:t>
      </w:r>
      <w:proofErr w:type="spellEnd"/>
      <w:r w:rsidRPr="00627D4A">
        <w:rPr>
          <w:color w:val="000000"/>
          <w:sz w:val="20"/>
          <w:szCs w:val="20"/>
          <w:lang w:val="pt-BR"/>
        </w:rPr>
        <w:t xml:space="preserve"> </w:t>
      </w:r>
      <w:proofErr w:type="spellStart"/>
      <w:r w:rsidRPr="00627D4A">
        <w:rPr>
          <w:color w:val="000000"/>
          <w:sz w:val="20"/>
          <w:szCs w:val="20"/>
          <w:lang w:val="pt-BR"/>
        </w:rPr>
        <w:t>medios</w:t>
      </w:r>
      <w:proofErr w:type="spellEnd"/>
      <w:r w:rsidRPr="00627D4A">
        <w:rPr>
          <w:color w:val="000000"/>
          <w:sz w:val="20"/>
          <w:szCs w:val="20"/>
          <w:lang w:val="pt-BR"/>
        </w:rPr>
        <w:t xml:space="preserve">, </w:t>
      </w:r>
      <w:proofErr w:type="spellStart"/>
      <w:r w:rsidRPr="00627D4A">
        <w:rPr>
          <w:color w:val="000000"/>
          <w:sz w:val="20"/>
          <w:szCs w:val="20"/>
          <w:lang w:val="pt-BR"/>
        </w:rPr>
        <w:t>alfabetización</w:t>
      </w:r>
      <w:proofErr w:type="spellEnd"/>
      <w:r w:rsidRPr="00627D4A">
        <w:rPr>
          <w:color w:val="000000"/>
          <w:sz w:val="20"/>
          <w:szCs w:val="20"/>
          <w:lang w:val="pt-BR"/>
        </w:rPr>
        <w:t xml:space="preserve"> mediática y </w:t>
      </w:r>
      <w:proofErr w:type="spellStart"/>
      <w:r w:rsidRPr="00627D4A">
        <w:rPr>
          <w:color w:val="000000"/>
          <w:sz w:val="20"/>
          <w:szCs w:val="20"/>
          <w:lang w:val="pt-BR"/>
        </w:rPr>
        <w:t>competencia</w:t>
      </w:r>
      <w:proofErr w:type="spellEnd"/>
      <w:r w:rsidRPr="00627D4A">
        <w:rPr>
          <w:color w:val="000000"/>
          <w:sz w:val="20"/>
          <w:szCs w:val="20"/>
          <w:lang w:val="pt-BR"/>
        </w:rPr>
        <w:t xml:space="preserve"> digital]. </w:t>
      </w:r>
      <w:proofErr w:type="spellStart"/>
      <w:r w:rsidRPr="004E4B93">
        <w:rPr>
          <w:color w:val="000000"/>
          <w:sz w:val="20"/>
          <w:szCs w:val="20"/>
        </w:rPr>
        <w:t>Comunicar</w:t>
      </w:r>
      <w:proofErr w:type="spellEnd"/>
      <w:r w:rsidRPr="004E4B93">
        <w:rPr>
          <w:color w:val="000000"/>
          <w:sz w:val="20"/>
          <w:szCs w:val="20"/>
        </w:rPr>
        <w:t>. 2012;(38):31–9. DOI:</w:t>
      </w:r>
      <w:r w:rsidRPr="004E4B93">
        <w:rPr>
          <w:color w:val="000000"/>
        </w:rPr>
        <w:t xml:space="preserve"> </w:t>
      </w:r>
      <w:hyperlink r:id="rId33">
        <w:r w:rsidR="005A6581" w:rsidRPr="004E4B93">
          <w:rPr>
            <w:color w:val="1155CC"/>
            <w:sz w:val="20"/>
            <w:szCs w:val="20"/>
            <w:u w:val="single"/>
          </w:rPr>
          <w:t>https://doi.org/10.3916/C38-2012-02-03</w:t>
        </w:r>
      </w:hyperlink>
    </w:p>
    <w:p w14:paraId="1C759A9B" w14:textId="77777777" w:rsidR="005A6581" w:rsidRPr="004E4B93" w:rsidRDefault="0064432F">
      <w:pPr>
        <w:numPr>
          <w:ilvl w:val="0"/>
          <w:numId w:val="1"/>
        </w:numPr>
        <w:pBdr>
          <w:top w:val="nil"/>
          <w:left w:val="nil"/>
          <w:bottom w:val="nil"/>
          <w:right w:val="nil"/>
          <w:between w:val="nil"/>
        </w:pBdr>
        <w:rPr>
          <w:color w:val="000000"/>
          <w:sz w:val="20"/>
          <w:szCs w:val="20"/>
        </w:rPr>
      </w:pPr>
      <w:r w:rsidRPr="00627D4A">
        <w:rPr>
          <w:color w:val="000000"/>
          <w:sz w:val="20"/>
          <w:szCs w:val="20"/>
          <w:lang w:val="pt-BR"/>
        </w:rPr>
        <w:t xml:space="preserve">Contreras E. La web de MARCA rompe </w:t>
      </w:r>
      <w:proofErr w:type="spellStart"/>
      <w:r w:rsidRPr="00627D4A">
        <w:rPr>
          <w:color w:val="000000"/>
          <w:sz w:val="20"/>
          <w:szCs w:val="20"/>
          <w:lang w:val="pt-BR"/>
        </w:rPr>
        <w:t>la</w:t>
      </w:r>
      <w:proofErr w:type="spellEnd"/>
      <w:r w:rsidRPr="00627D4A">
        <w:rPr>
          <w:color w:val="000000"/>
          <w:sz w:val="20"/>
          <w:szCs w:val="20"/>
          <w:lang w:val="pt-BR"/>
        </w:rPr>
        <w:t xml:space="preserve"> </w:t>
      </w:r>
      <w:proofErr w:type="spellStart"/>
      <w:r w:rsidRPr="00627D4A">
        <w:rPr>
          <w:color w:val="000000"/>
          <w:sz w:val="20"/>
          <w:szCs w:val="20"/>
          <w:lang w:val="pt-BR"/>
        </w:rPr>
        <w:t>barrera</w:t>
      </w:r>
      <w:proofErr w:type="spellEnd"/>
      <w:r w:rsidRPr="00627D4A">
        <w:rPr>
          <w:color w:val="000000"/>
          <w:sz w:val="20"/>
          <w:szCs w:val="20"/>
          <w:lang w:val="pt-BR"/>
        </w:rPr>
        <w:t xml:space="preserve"> de </w:t>
      </w:r>
      <w:proofErr w:type="spellStart"/>
      <w:r w:rsidRPr="00627D4A">
        <w:rPr>
          <w:color w:val="000000"/>
          <w:sz w:val="20"/>
          <w:szCs w:val="20"/>
          <w:lang w:val="pt-BR"/>
        </w:rPr>
        <w:t>los</w:t>
      </w:r>
      <w:proofErr w:type="spellEnd"/>
      <w:r w:rsidRPr="00627D4A">
        <w:rPr>
          <w:color w:val="000000"/>
          <w:sz w:val="20"/>
          <w:szCs w:val="20"/>
          <w:lang w:val="pt-BR"/>
        </w:rPr>
        <w:t xml:space="preserve"> 1.000 </w:t>
      </w:r>
      <w:proofErr w:type="spellStart"/>
      <w:r w:rsidRPr="00627D4A">
        <w:rPr>
          <w:color w:val="000000"/>
          <w:sz w:val="20"/>
          <w:szCs w:val="20"/>
          <w:lang w:val="pt-BR"/>
        </w:rPr>
        <w:t>millones</w:t>
      </w:r>
      <w:proofErr w:type="spellEnd"/>
      <w:r w:rsidRPr="00627D4A">
        <w:rPr>
          <w:color w:val="000000"/>
          <w:sz w:val="20"/>
          <w:szCs w:val="20"/>
          <w:lang w:val="pt-BR"/>
        </w:rPr>
        <w:t xml:space="preserve"> y </w:t>
      </w:r>
      <w:proofErr w:type="spellStart"/>
      <w:r w:rsidRPr="00627D4A">
        <w:rPr>
          <w:color w:val="000000"/>
          <w:sz w:val="20"/>
          <w:szCs w:val="20"/>
          <w:lang w:val="pt-BR"/>
        </w:rPr>
        <w:t>hace</w:t>
      </w:r>
      <w:proofErr w:type="spellEnd"/>
      <w:r w:rsidRPr="00627D4A">
        <w:rPr>
          <w:color w:val="000000"/>
          <w:sz w:val="20"/>
          <w:szCs w:val="20"/>
          <w:lang w:val="pt-BR"/>
        </w:rPr>
        <w:t xml:space="preserve"> </w:t>
      </w:r>
      <w:proofErr w:type="gramStart"/>
      <w:r w:rsidRPr="00627D4A">
        <w:rPr>
          <w:color w:val="000000"/>
          <w:sz w:val="20"/>
          <w:szCs w:val="20"/>
          <w:lang w:val="pt-BR"/>
        </w:rPr>
        <w:t>historia</w:t>
      </w:r>
      <w:proofErr w:type="gramEnd"/>
      <w:r w:rsidRPr="00627D4A">
        <w:rPr>
          <w:color w:val="000000"/>
          <w:sz w:val="20"/>
          <w:szCs w:val="20"/>
          <w:lang w:val="pt-BR"/>
        </w:rPr>
        <w:t xml:space="preserve"> </w:t>
      </w:r>
      <w:proofErr w:type="spellStart"/>
      <w:r w:rsidRPr="00627D4A">
        <w:rPr>
          <w:color w:val="000000"/>
          <w:sz w:val="20"/>
          <w:szCs w:val="20"/>
          <w:lang w:val="pt-BR"/>
        </w:rPr>
        <w:t>en</w:t>
      </w:r>
      <w:proofErr w:type="spellEnd"/>
      <w:r w:rsidRPr="00627D4A">
        <w:rPr>
          <w:color w:val="000000"/>
          <w:sz w:val="20"/>
          <w:szCs w:val="20"/>
          <w:lang w:val="pt-BR"/>
        </w:rPr>
        <w:t xml:space="preserve"> </w:t>
      </w:r>
      <w:proofErr w:type="spellStart"/>
      <w:r w:rsidRPr="00627D4A">
        <w:rPr>
          <w:color w:val="000000"/>
          <w:sz w:val="20"/>
          <w:szCs w:val="20"/>
          <w:lang w:val="pt-BR"/>
        </w:rPr>
        <w:t>la</w:t>
      </w:r>
      <w:proofErr w:type="spellEnd"/>
      <w:r w:rsidRPr="00627D4A">
        <w:rPr>
          <w:color w:val="000000"/>
          <w:sz w:val="20"/>
          <w:szCs w:val="20"/>
          <w:lang w:val="pt-BR"/>
        </w:rPr>
        <w:t xml:space="preserve"> prensa digital </w:t>
      </w:r>
      <w:proofErr w:type="spellStart"/>
      <w:r w:rsidRPr="00627D4A">
        <w:rPr>
          <w:color w:val="000000"/>
          <w:sz w:val="20"/>
          <w:szCs w:val="20"/>
          <w:lang w:val="pt-BR"/>
        </w:rPr>
        <w:t>española</w:t>
      </w:r>
      <w:proofErr w:type="spellEnd"/>
      <w:r w:rsidRPr="00627D4A">
        <w:rPr>
          <w:color w:val="000000"/>
          <w:sz w:val="20"/>
          <w:szCs w:val="20"/>
          <w:lang w:val="pt-BR"/>
        </w:rPr>
        <w:t xml:space="preserve"> [Internet]. </w:t>
      </w:r>
      <w:r w:rsidRPr="004E4B93">
        <w:rPr>
          <w:color w:val="000000"/>
          <w:sz w:val="20"/>
          <w:szCs w:val="20"/>
        </w:rPr>
        <w:t xml:space="preserve">2025 Apr 16 [cited 2025 Jul 17]. Available from: </w:t>
      </w:r>
      <w:hyperlink r:id="rId34">
        <w:r w:rsidR="005A6581" w:rsidRPr="004E4B93">
          <w:rPr>
            <w:color w:val="0000FF"/>
            <w:sz w:val="20"/>
            <w:szCs w:val="20"/>
            <w:u w:val="single"/>
          </w:rPr>
          <w:t>https://www.marca.com/mundo-marca/2025/04/16/67fe7449268e3e25508b4575.html</w:t>
        </w:r>
      </w:hyperlink>
    </w:p>
    <w:p w14:paraId="66B8E960" w14:textId="77777777" w:rsidR="005A6581" w:rsidRPr="004E4B93" w:rsidRDefault="0064432F">
      <w:pPr>
        <w:numPr>
          <w:ilvl w:val="0"/>
          <w:numId w:val="1"/>
        </w:numPr>
        <w:pBdr>
          <w:top w:val="nil"/>
          <w:left w:val="nil"/>
          <w:bottom w:val="nil"/>
          <w:right w:val="nil"/>
          <w:between w:val="nil"/>
        </w:pBdr>
        <w:rPr>
          <w:color w:val="000000"/>
          <w:sz w:val="20"/>
          <w:szCs w:val="20"/>
        </w:rPr>
      </w:pPr>
      <w:proofErr w:type="spellStart"/>
      <w:r w:rsidRPr="00627D4A">
        <w:rPr>
          <w:color w:val="000000"/>
          <w:sz w:val="20"/>
          <w:szCs w:val="20"/>
          <w:lang w:val="pt-BR"/>
        </w:rPr>
        <w:t>Fusté</w:t>
      </w:r>
      <w:proofErr w:type="spellEnd"/>
      <w:r w:rsidRPr="00627D4A">
        <w:rPr>
          <w:color w:val="000000"/>
          <w:sz w:val="20"/>
          <w:szCs w:val="20"/>
          <w:lang w:val="pt-BR"/>
        </w:rPr>
        <w:t xml:space="preserve">-Forné F. Celebridades </w:t>
      </w:r>
      <w:proofErr w:type="spellStart"/>
      <w:r w:rsidRPr="00627D4A">
        <w:rPr>
          <w:color w:val="000000"/>
          <w:sz w:val="20"/>
          <w:szCs w:val="20"/>
          <w:lang w:val="pt-BR"/>
        </w:rPr>
        <w:t>sociales</w:t>
      </w:r>
      <w:proofErr w:type="spellEnd"/>
      <w:r w:rsidRPr="00627D4A">
        <w:rPr>
          <w:color w:val="000000"/>
          <w:sz w:val="20"/>
          <w:szCs w:val="20"/>
          <w:lang w:val="pt-BR"/>
        </w:rPr>
        <w:t xml:space="preserve"> y mediáticas: </w:t>
      </w:r>
      <w:proofErr w:type="spellStart"/>
      <w:r w:rsidRPr="00627D4A">
        <w:rPr>
          <w:color w:val="000000"/>
          <w:sz w:val="20"/>
          <w:szCs w:val="20"/>
          <w:lang w:val="pt-BR"/>
        </w:rPr>
        <w:t>un</w:t>
      </w:r>
      <w:proofErr w:type="spellEnd"/>
      <w:r w:rsidRPr="00627D4A">
        <w:rPr>
          <w:color w:val="000000"/>
          <w:sz w:val="20"/>
          <w:szCs w:val="20"/>
          <w:lang w:val="pt-BR"/>
        </w:rPr>
        <w:t xml:space="preserve"> </w:t>
      </w:r>
      <w:proofErr w:type="spellStart"/>
      <w:r w:rsidRPr="00627D4A">
        <w:rPr>
          <w:color w:val="000000"/>
          <w:sz w:val="20"/>
          <w:szCs w:val="20"/>
          <w:lang w:val="pt-BR"/>
        </w:rPr>
        <w:t>análisis</w:t>
      </w:r>
      <w:proofErr w:type="spellEnd"/>
      <w:r w:rsidRPr="00627D4A">
        <w:rPr>
          <w:color w:val="000000"/>
          <w:sz w:val="20"/>
          <w:szCs w:val="20"/>
          <w:lang w:val="pt-BR"/>
        </w:rPr>
        <w:t xml:space="preserve"> de </w:t>
      </w:r>
      <w:proofErr w:type="spellStart"/>
      <w:r w:rsidRPr="00627D4A">
        <w:rPr>
          <w:color w:val="000000"/>
          <w:sz w:val="20"/>
          <w:szCs w:val="20"/>
          <w:lang w:val="pt-BR"/>
        </w:rPr>
        <w:t>las</w:t>
      </w:r>
      <w:proofErr w:type="spellEnd"/>
      <w:r w:rsidRPr="00627D4A">
        <w:rPr>
          <w:color w:val="000000"/>
          <w:sz w:val="20"/>
          <w:szCs w:val="20"/>
          <w:lang w:val="pt-BR"/>
        </w:rPr>
        <w:t xml:space="preserve"> portadas </w:t>
      </w:r>
      <w:proofErr w:type="spellStart"/>
      <w:r w:rsidRPr="00627D4A">
        <w:rPr>
          <w:color w:val="000000"/>
          <w:sz w:val="20"/>
          <w:szCs w:val="20"/>
          <w:lang w:val="pt-BR"/>
        </w:rPr>
        <w:t>del</w:t>
      </w:r>
      <w:proofErr w:type="spellEnd"/>
      <w:r w:rsidRPr="00627D4A">
        <w:rPr>
          <w:color w:val="000000"/>
          <w:sz w:val="20"/>
          <w:szCs w:val="20"/>
          <w:lang w:val="pt-BR"/>
        </w:rPr>
        <w:t xml:space="preserve"> suplemento "El Magazine" (1990–2016). </w:t>
      </w:r>
      <w:proofErr w:type="spellStart"/>
      <w:r w:rsidRPr="004E4B93">
        <w:rPr>
          <w:color w:val="000000"/>
          <w:sz w:val="20"/>
          <w:szCs w:val="20"/>
        </w:rPr>
        <w:t>Estud</w:t>
      </w:r>
      <w:proofErr w:type="spellEnd"/>
      <w:r w:rsidRPr="004E4B93">
        <w:rPr>
          <w:color w:val="000000"/>
          <w:sz w:val="20"/>
          <w:szCs w:val="20"/>
        </w:rPr>
        <w:t xml:space="preserve"> </w:t>
      </w:r>
      <w:proofErr w:type="spellStart"/>
      <w:r w:rsidRPr="004E4B93">
        <w:rPr>
          <w:color w:val="000000"/>
          <w:sz w:val="20"/>
          <w:szCs w:val="20"/>
        </w:rPr>
        <w:t>Mensaje</w:t>
      </w:r>
      <w:proofErr w:type="spellEnd"/>
      <w:r w:rsidRPr="004E4B93">
        <w:rPr>
          <w:color w:val="000000"/>
          <w:sz w:val="20"/>
          <w:szCs w:val="20"/>
        </w:rPr>
        <w:t xml:space="preserve"> </w:t>
      </w:r>
      <w:proofErr w:type="spellStart"/>
      <w:r w:rsidRPr="004E4B93">
        <w:rPr>
          <w:color w:val="000000"/>
          <w:sz w:val="20"/>
          <w:szCs w:val="20"/>
        </w:rPr>
        <w:t>Periodístico</w:t>
      </w:r>
      <w:proofErr w:type="spellEnd"/>
      <w:r w:rsidRPr="004E4B93">
        <w:rPr>
          <w:color w:val="000000"/>
          <w:sz w:val="20"/>
          <w:szCs w:val="20"/>
        </w:rPr>
        <w:t xml:space="preserve">. 2018;24(2):1239–50. DOI: </w:t>
      </w:r>
      <w:hyperlink r:id="rId35">
        <w:r w:rsidR="005A6581" w:rsidRPr="004E4B93">
          <w:rPr>
            <w:color w:val="1155CC"/>
            <w:sz w:val="20"/>
            <w:szCs w:val="20"/>
            <w:u w:val="single"/>
          </w:rPr>
          <w:t>https://doi.org/10.5209/ESMP.62212</w:t>
        </w:r>
      </w:hyperlink>
    </w:p>
    <w:p w14:paraId="5EDDE323"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Dunne C. An examination of the photographic coverage of sportswomen in the Irish print media: a study of an Irish broadsheet newspaper. Sport Soc. 2017;20(11):1780–98. DOI:</w:t>
      </w:r>
      <w:r w:rsidRPr="004E4B93">
        <w:rPr>
          <w:color w:val="000000"/>
        </w:rPr>
        <w:t xml:space="preserve"> </w:t>
      </w:r>
      <w:hyperlink r:id="rId36">
        <w:r w:rsidR="005A6581" w:rsidRPr="004E4B93">
          <w:rPr>
            <w:color w:val="1155CC"/>
            <w:sz w:val="20"/>
            <w:szCs w:val="20"/>
            <w:u w:val="single"/>
          </w:rPr>
          <w:t>https://doi.org/10.1080/17430437.2017.134661</w:t>
        </w:r>
      </w:hyperlink>
    </w:p>
    <w:p w14:paraId="015F98B3"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Chadwick A, Vaccari C, O’Loughlin B. Do tabloids poison the well of social media? Explaining democratically dysfunctional news sharing. New Media Soc. 2018;20(11):4255–74. DOI:</w:t>
      </w:r>
      <w:r w:rsidRPr="004E4B93">
        <w:rPr>
          <w:color w:val="000000"/>
        </w:rPr>
        <w:t xml:space="preserve"> </w:t>
      </w:r>
      <w:hyperlink r:id="rId37">
        <w:r w:rsidR="005A6581" w:rsidRPr="004E4B93">
          <w:rPr>
            <w:color w:val="1155CC"/>
            <w:sz w:val="20"/>
            <w:szCs w:val="20"/>
            <w:u w:val="single"/>
          </w:rPr>
          <w:t>https://doi.org/10.1177/1461444818769689</w:t>
        </w:r>
      </w:hyperlink>
    </w:p>
    <w:p w14:paraId="4B71BC7B"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de-DE"/>
        </w:rPr>
        <w:t xml:space="preserve">Konjer M, Mutz M, Meier HE. </w:t>
      </w:r>
      <w:r w:rsidRPr="004E4B93">
        <w:rPr>
          <w:color w:val="000000"/>
          <w:sz w:val="20"/>
          <w:szCs w:val="20"/>
        </w:rPr>
        <w:t>Talent alone does not suffice: erotic capital, media visibility and global popularity among professional male and female tennis players. J Gend Stud. 2017;28(1):3–17. DOI:</w:t>
      </w:r>
      <w:r w:rsidRPr="004E4B93">
        <w:rPr>
          <w:color w:val="000000"/>
        </w:rPr>
        <w:t xml:space="preserve"> </w:t>
      </w:r>
      <w:hyperlink r:id="rId38">
        <w:r w:rsidR="005A6581" w:rsidRPr="004E4B93">
          <w:rPr>
            <w:color w:val="1155CC"/>
            <w:sz w:val="20"/>
            <w:szCs w:val="20"/>
            <w:u w:val="single"/>
          </w:rPr>
          <w:t>https://doi.org/10.1080/09589236.2017.1365696</w:t>
        </w:r>
      </w:hyperlink>
    </w:p>
    <w:p w14:paraId="65589007"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t xml:space="preserve">Molina </w:t>
      </w:r>
      <w:proofErr w:type="spellStart"/>
      <w:r w:rsidRPr="00627D4A">
        <w:rPr>
          <w:color w:val="000000"/>
          <w:sz w:val="20"/>
          <w:szCs w:val="20"/>
          <w:lang w:val="pt-BR"/>
        </w:rPr>
        <w:t>Navarrete</w:t>
      </w:r>
      <w:proofErr w:type="spellEnd"/>
      <w:r w:rsidRPr="00627D4A">
        <w:rPr>
          <w:color w:val="000000"/>
          <w:sz w:val="20"/>
          <w:szCs w:val="20"/>
          <w:lang w:val="pt-BR"/>
        </w:rPr>
        <w:t xml:space="preserve"> C. Abuso de poder y </w:t>
      </w:r>
      <w:proofErr w:type="spellStart"/>
      <w:r w:rsidRPr="00627D4A">
        <w:rPr>
          <w:color w:val="000000"/>
          <w:sz w:val="20"/>
          <w:szCs w:val="20"/>
          <w:lang w:val="pt-BR"/>
        </w:rPr>
        <w:t>violencia</w:t>
      </w:r>
      <w:proofErr w:type="spellEnd"/>
      <w:r w:rsidRPr="00627D4A">
        <w:rPr>
          <w:color w:val="000000"/>
          <w:sz w:val="20"/>
          <w:szCs w:val="20"/>
          <w:lang w:val="pt-BR"/>
        </w:rPr>
        <w:t xml:space="preserve"> de género </w:t>
      </w:r>
      <w:proofErr w:type="spellStart"/>
      <w:r w:rsidRPr="00627D4A">
        <w:rPr>
          <w:color w:val="000000"/>
          <w:sz w:val="20"/>
          <w:szCs w:val="20"/>
          <w:lang w:val="pt-BR"/>
        </w:rPr>
        <w:t>en</w:t>
      </w:r>
      <w:proofErr w:type="spellEnd"/>
      <w:r w:rsidRPr="00627D4A">
        <w:rPr>
          <w:color w:val="000000"/>
          <w:sz w:val="20"/>
          <w:szCs w:val="20"/>
          <w:lang w:val="pt-BR"/>
        </w:rPr>
        <w:t xml:space="preserve"> </w:t>
      </w:r>
      <w:proofErr w:type="spellStart"/>
      <w:r w:rsidRPr="00627D4A">
        <w:rPr>
          <w:color w:val="000000"/>
          <w:sz w:val="20"/>
          <w:szCs w:val="20"/>
          <w:lang w:val="pt-BR"/>
        </w:rPr>
        <w:t>el</w:t>
      </w:r>
      <w:proofErr w:type="spellEnd"/>
      <w:r w:rsidRPr="00627D4A">
        <w:rPr>
          <w:color w:val="000000"/>
          <w:sz w:val="20"/>
          <w:szCs w:val="20"/>
          <w:lang w:val="pt-BR"/>
        </w:rPr>
        <w:t xml:space="preserve"> </w:t>
      </w:r>
      <w:proofErr w:type="spellStart"/>
      <w:r w:rsidRPr="00627D4A">
        <w:rPr>
          <w:color w:val="000000"/>
          <w:sz w:val="20"/>
          <w:szCs w:val="20"/>
          <w:lang w:val="pt-BR"/>
        </w:rPr>
        <w:t>trabajo</w:t>
      </w:r>
      <w:proofErr w:type="spellEnd"/>
      <w:r w:rsidRPr="00627D4A">
        <w:rPr>
          <w:color w:val="000000"/>
          <w:sz w:val="20"/>
          <w:szCs w:val="20"/>
          <w:lang w:val="pt-BR"/>
        </w:rPr>
        <w:t>: ¿</w:t>
      </w:r>
      <w:proofErr w:type="spellStart"/>
      <w:r w:rsidRPr="00627D4A">
        <w:rPr>
          <w:color w:val="000000"/>
          <w:sz w:val="20"/>
          <w:szCs w:val="20"/>
          <w:lang w:val="pt-BR"/>
        </w:rPr>
        <w:t>Qué</w:t>
      </w:r>
      <w:proofErr w:type="spellEnd"/>
      <w:r w:rsidRPr="00627D4A">
        <w:rPr>
          <w:color w:val="000000"/>
          <w:sz w:val="20"/>
          <w:szCs w:val="20"/>
          <w:lang w:val="pt-BR"/>
        </w:rPr>
        <w:t xml:space="preserve"> </w:t>
      </w:r>
      <w:proofErr w:type="spellStart"/>
      <w:r w:rsidRPr="00627D4A">
        <w:rPr>
          <w:color w:val="000000"/>
          <w:sz w:val="20"/>
          <w:szCs w:val="20"/>
          <w:lang w:val="pt-BR"/>
        </w:rPr>
        <w:t>lección</w:t>
      </w:r>
      <w:proofErr w:type="spellEnd"/>
      <w:r w:rsidRPr="00627D4A">
        <w:rPr>
          <w:color w:val="000000"/>
          <w:sz w:val="20"/>
          <w:szCs w:val="20"/>
          <w:lang w:val="pt-BR"/>
        </w:rPr>
        <w:t xml:space="preserve"> </w:t>
      </w:r>
      <w:proofErr w:type="spellStart"/>
      <w:r w:rsidRPr="00627D4A">
        <w:rPr>
          <w:color w:val="000000"/>
          <w:sz w:val="20"/>
          <w:szCs w:val="20"/>
          <w:lang w:val="pt-BR"/>
        </w:rPr>
        <w:t>del</w:t>
      </w:r>
      <w:proofErr w:type="spellEnd"/>
      <w:r w:rsidRPr="00627D4A">
        <w:rPr>
          <w:color w:val="000000"/>
          <w:sz w:val="20"/>
          <w:szCs w:val="20"/>
          <w:lang w:val="pt-BR"/>
        </w:rPr>
        <w:t xml:space="preserve"> «</w:t>
      </w:r>
      <w:proofErr w:type="spellStart"/>
      <w:r w:rsidRPr="00627D4A">
        <w:rPr>
          <w:color w:val="000000"/>
          <w:sz w:val="20"/>
          <w:szCs w:val="20"/>
          <w:lang w:val="pt-BR"/>
        </w:rPr>
        <w:t>beso</w:t>
      </w:r>
      <w:proofErr w:type="spellEnd"/>
      <w:r w:rsidRPr="00627D4A">
        <w:rPr>
          <w:color w:val="000000"/>
          <w:sz w:val="20"/>
          <w:szCs w:val="20"/>
          <w:lang w:val="pt-BR"/>
        </w:rPr>
        <w:t xml:space="preserve"> (</w:t>
      </w:r>
      <w:proofErr w:type="spellStart"/>
      <w:r w:rsidRPr="00627D4A">
        <w:rPr>
          <w:color w:val="000000"/>
          <w:sz w:val="20"/>
          <w:szCs w:val="20"/>
          <w:lang w:val="pt-BR"/>
        </w:rPr>
        <w:t>robado</w:t>
      </w:r>
      <w:proofErr w:type="spellEnd"/>
      <w:r w:rsidRPr="00627D4A">
        <w:rPr>
          <w:color w:val="000000"/>
          <w:sz w:val="20"/>
          <w:szCs w:val="20"/>
          <w:lang w:val="pt-BR"/>
        </w:rPr>
        <w:t xml:space="preserve">) de Rubiales»? </w:t>
      </w:r>
      <w:r w:rsidRPr="004E4B93">
        <w:rPr>
          <w:color w:val="000000"/>
          <w:sz w:val="20"/>
          <w:szCs w:val="20"/>
        </w:rPr>
        <w:t xml:space="preserve">Rev </w:t>
      </w:r>
      <w:proofErr w:type="spellStart"/>
      <w:r w:rsidRPr="004E4B93">
        <w:rPr>
          <w:color w:val="000000"/>
          <w:sz w:val="20"/>
          <w:szCs w:val="20"/>
        </w:rPr>
        <w:t>CEFLegal</w:t>
      </w:r>
      <w:proofErr w:type="spellEnd"/>
      <w:r w:rsidRPr="004E4B93">
        <w:rPr>
          <w:color w:val="000000"/>
          <w:sz w:val="20"/>
          <w:szCs w:val="20"/>
        </w:rPr>
        <w:t>. 2023[cited 2025 Jul 11</w:t>
      </w:r>
      <w:proofErr w:type="gramStart"/>
      <w:r w:rsidRPr="004E4B93">
        <w:rPr>
          <w:color w:val="000000"/>
          <w:sz w:val="20"/>
          <w:szCs w:val="20"/>
        </w:rPr>
        <w:t>];273:124</w:t>
      </w:r>
      <w:proofErr w:type="gramEnd"/>
      <w:r w:rsidRPr="004E4B93">
        <w:rPr>
          <w:color w:val="000000"/>
          <w:sz w:val="20"/>
          <w:szCs w:val="20"/>
        </w:rPr>
        <w:t xml:space="preserve">–48. Available from: </w:t>
      </w:r>
      <w:hyperlink r:id="rId39">
        <w:r w:rsidR="005A6581" w:rsidRPr="004E4B93">
          <w:rPr>
            <w:color w:val="1155CC"/>
            <w:sz w:val="20"/>
            <w:szCs w:val="20"/>
            <w:u w:val="single"/>
          </w:rPr>
          <w:t>https://revistas.cef.udima.es/index.php/ceflegal/article/view/19389</w:t>
        </w:r>
      </w:hyperlink>
    </w:p>
    <w:p w14:paraId="119A3D94" w14:textId="77777777" w:rsidR="005A6581" w:rsidRPr="00627D4A"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 xml:space="preserve">Clayton B, Dunn G, Harris J. 21 years later: Reflecting on femininity, masculinity, physicality and the English tabloid press. Int Rev </w:t>
      </w:r>
      <w:proofErr w:type="spellStart"/>
      <w:r w:rsidRPr="004E4B93">
        <w:rPr>
          <w:color w:val="000000"/>
          <w:sz w:val="20"/>
          <w:szCs w:val="20"/>
        </w:rPr>
        <w:t>Sociol</w:t>
      </w:r>
      <w:proofErr w:type="spellEnd"/>
      <w:r w:rsidRPr="004E4B93">
        <w:rPr>
          <w:color w:val="000000"/>
          <w:sz w:val="20"/>
          <w:szCs w:val="20"/>
        </w:rPr>
        <w:t xml:space="preserve"> Sport. 2025. DOI:</w:t>
      </w:r>
      <w:r w:rsidRPr="004E4B93">
        <w:rPr>
          <w:color w:val="000000"/>
        </w:rPr>
        <w:t xml:space="preserve"> </w:t>
      </w:r>
      <w:hyperlink r:id="rId40">
        <w:r w:rsidR="005A6581" w:rsidRPr="00627D4A">
          <w:rPr>
            <w:color w:val="1155CC"/>
            <w:sz w:val="20"/>
            <w:szCs w:val="20"/>
            <w:u w:val="single"/>
          </w:rPr>
          <w:t>https://doi.org/10.1177/10126902251342321</w:t>
        </w:r>
      </w:hyperlink>
    </w:p>
    <w:p w14:paraId="4E00E9BD" w14:textId="37E3A4D4" w:rsidR="00E76C5F" w:rsidRPr="00627D4A" w:rsidRDefault="0064432F" w:rsidP="000F696D">
      <w:pPr>
        <w:pStyle w:val="PargrafodaLista"/>
        <w:numPr>
          <w:ilvl w:val="0"/>
          <w:numId w:val="1"/>
        </w:numPr>
        <w:rPr>
          <w:color w:val="000000"/>
          <w:sz w:val="20"/>
          <w:szCs w:val="20"/>
        </w:rPr>
      </w:pPr>
      <w:r w:rsidRPr="00627D4A">
        <w:rPr>
          <w:color w:val="000000"/>
          <w:sz w:val="20"/>
          <w:szCs w:val="20"/>
        </w:rPr>
        <w:t xml:space="preserve">Spain. Law 13/2022, of 7 July, General Law on Audiovisual Communication. </w:t>
      </w:r>
      <w:proofErr w:type="spellStart"/>
      <w:r w:rsidRPr="00627D4A">
        <w:rPr>
          <w:color w:val="000000"/>
          <w:sz w:val="20"/>
          <w:szCs w:val="20"/>
        </w:rPr>
        <w:t>Boletín</w:t>
      </w:r>
      <w:proofErr w:type="spellEnd"/>
      <w:r w:rsidRPr="00627D4A">
        <w:rPr>
          <w:color w:val="000000"/>
          <w:sz w:val="20"/>
          <w:szCs w:val="20"/>
        </w:rPr>
        <w:t xml:space="preserve"> </w:t>
      </w:r>
      <w:proofErr w:type="spellStart"/>
      <w:r w:rsidRPr="00627D4A">
        <w:rPr>
          <w:color w:val="000000"/>
          <w:sz w:val="20"/>
          <w:szCs w:val="20"/>
        </w:rPr>
        <w:t>Oficial</w:t>
      </w:r>
      <w:proofErr w:type="spellEnd"/>
      <w:r w:rsidRPr="00627D4A">
        <w:rPr>
          <w:color w:val="000000"/>
          <w:sz w:val="20"/>
          <w:szCs w:val="20"/>
        </w:rPr>
        <w:t xml:space="preserve"> del Estado, No. 162, 8 July 2022</w:t>
      </w:r>
      <w:r w:rsidR="00627D4A" w:rsidRPr="00627D4A">
        <w:rPr>
          <w:color w:val="000000"/>
          <w:sz w:val="20"/>
          <w:szCs w:val="20"/>
        </w:rPr>
        <w:t xml:space="preserve"> </w:t>
      </w:r>
      <w:r w:rsidR="00627D4A">
        <w:rPr>
          <w:color w:val="000000"/>
          <w:sz w:val="20"/>
          <w:szCs w:val="20"/>
        </w:rPr>
        <w:t>(cited</w:t>
      </w:r>
      <w:r w:rsidR="00627D4A" w:rsidRPr="00627D4A">
        <w:rPr>
          <w:color w:val="000000"/>
          <w:sz w:val="20"/>
          <w:szCs w:val="20"/>
        </w:rPr>
        <w:t xml:space="preserve"> July 19, 2025</w:t>
      </w:r>
      <w:r w:rsidR="00627D4A">
        <w:rPr>
          <w:color w:val="000000"/>
          <w:sz w:val="20"/>
          <w:szCs w:val="20"/>
        </w:rPr>
        <w:t>)</w:t>
      </w:r>
      <w:r w:rsidRPr="00627D4A">
        <w:rPr>
          <w:color w:val="000000"/>
          <w:sz w:val="20"/>
          <w:szCs w:val="20"/>
        </w:rPr>
        <w:t>.</w:t>
      </w:r>
      <w:r w:rsidR="005A26FA" w:rsidRPr="00627D4A">
        <w:rPr>
          <w:color w:val="000000"/>
          <w:sz w:val="20"/>
          <w:szCs w:val="20"/>
        </w:rPr>
        <w:t xml:space="preserve"> </w:t>
      </w:r>
      <w:r w:rsidR="00E76C5F" w:rsidRPr="00627D4A">
        <w:rPr>
          <w:color w:val="000000"/>
          <w:sz w:val="20"/>
          <w:szCs w:val="20"/>
        </w:rPr>
        <w:t xml:space="preserve">Available at: </w:t>
      </w:r>
      <w:hyperlink r:id="rId41" w:history="1">
        <w:r w:rsidR="000F696D" w:rsidRPr="00627D4A">
          <w:rPr>
            <w:rStyle w:val="Hyperlink"/>
            <w:sz w:val="20"/>
            <w:szCs w:val="20"/>
          </w:rPr>
          <w:t>https://www.boe.es/buscar/doc.php?id=BOE-A-2022-11316</w:t>
        </w:r>
      </w:hyperlink>
      <w:r w:rsidR="000F696D" w:rsidRPr="00627D4A">
        <w:rPr>
          <w:color w:val="000000"/>
          <w:sz w:val="20"/>
          <w:szCs w:val="20"/>
        </w:rPr>
        <w:t>.</w:t>
      </w:r>
      <w:r w:rsidR="00E76C5F" w:rsidRPr="00627D4A">
        <w:rPr>
          <w:color w:val="000000"/>
          <w:sz w:val="20"/>
          <w:szCs w:val="20"/>
        </w:rPr>
        <w:t>.</w:t>
      </w:r>
    </w:p>
    <w:p w14:paraId="28D4ABB4" w14:textId="540C144E" w:rsidR="000F696D" w:rsidRPr="00627D4A" w:rsidRDefault="0064432F" w:rsidP="000F696D">
      <w:pPr>
        <w:numPr>
          <w:ilvl w:val="0"/>
          <w:numId w:val="1"/>
        </w:numPr>
        <w:rPr>
          <w:color w:val="000000"/>
          <w:sz w:val="20"/>
          <w:szCs w:val="20"/>
        </w:rPr>
      </w:pPr>
      <w:r w:rsidRPr="00627D4A">
        <w:rPr>
          <w:color w:val="000000"/>
          <w:sz w:val="20"/>
          <w:szCs w:val="20"/>
        </w:rPr>
        <w:t xml:space="preserve">Spain. Organic Law 3/2007, of 22 March, for the effective equality of women and men. </w:t>
      </w:r>
      <w:proofErr w:type="spellStart"/>
      <w:r w:rsidRPr="00627D4A">
        <w:rPr>
          <w:color w:val="000000"/>
          <w:sz w:val="20"/>
          <w:szCs w:val="20"/>
        </w:rPr>
        <w:t>Boletín</w:t>
      </w:r>
      <w:proofErr w:type="spellEnd"/>
      <w:r w:rsidRPr="00627D4A">
        <w:rPr>
          <w:color w:val="000000"/>
          <w:sz w:val="20"/>
          <w:szCs w:val="20"/>
        </w:rPr>
        <w:t xml:space="preserve"> </w:t>
      </w:r>
      <w:proofErr w:type="spellStart"/>
      <w:r w:rsidRPr="00627D4A">
        <w:rPr>
          <w:color w:val="000000"/>
          <w:sz w:val="20"/>
          <w:szCs w:val="20"/>
        </w:rPr>
        <w:t>Oficial</w:t>
      </w:r>
      <w:proofErr w:type="spellEnd"/>
      <w:r w:rsidRPr="00627D4A">
        <w:rPr>
          <w:color w:val="000000"/>
          <w:sz w:val="20"/>
          <w:szCs w:val="20"/>
        </w:rPr>
        <w:t xml:space="preserve"> del Estado, No. 71, 23 March 2007</w:t>
      </w:r>
      <w:r w:rsidR="00627D4A" w:rsidRPr="00627D4A">
        <w:rPr>
          <w:color w:val="000000"/>
          <w:sz w:val="20"/>
          <w:szCs w:val="20"/>
        </w:rPr>
        <w:t xml:space="preserve"> </w:t>
      </w:r>
      <w:r w:rsidR="00627D4A">
        <w:rPr>
          <w:color w:val="000000"/>
          <w:sz w:val="20"/>
          <w:szCs w:val="20"/>
        </w:rPr>
        <w:t>(cited</w:t>
      </w:r>
      <w:r w:rsidR="00627D4A" w:rsidRPr="00627D4A">
        <w:rPr>
          <w:color w:val="000000"/>
          <w:sz w:val="20"/>
          <w:szCs w:val="20"/>
        </w:rPr>
        <w:t xml:space="preserve"> July 19, 202</w:t>
      </w:r>
      <w:r w:rsidR="00627D4A">
        <w:rPr>
          <w:color w:val="000000"/>
          <w:sz w:val="20"/>
          <w:szCs w:val="20"/>
        </w:rPr>
        <w:t>5)</w:t>
      </w:r>
      <w:r w:rsidRPr="00627D4A">
        <w:rPr>
          <w:color w:val="000000"/>
          <w:sz w:val="20"/>
          <w:szCs w:val="20"/>
        </w:rPr>
        <w:t>.</w:t>
      </w:r>
      <w:r w:rsidR="000F696D" w:rsidRPr="00627D4A">
        <w:rPr>
          <w:color w:val="000000"/>
          <w:sz w:val="20"/>
          <w:szCs w:val="20"/>
        </w:rPr>
        <w:t xml:space="preserve"> Available at: </w:t>
      </w:r>
      <w:hyperlink r:id="rId42" w:history="1">
        <w:r w:rsidR="000F696D" w:rsidRPr="00627D4A">
          <w:rPr>
            <w:rStyle w:val="Hyperlink"/>
            <w:sz w:val="20"/>
            <w:szCs w:val="20"/>
          </w:rPr>
          <w:t>https://www.boe.es/buscar/doc.php?id=BOE-A-2007-6115</w:t>
        </w:r>
      </w:hyperlink>
      <w:r w:rsidR="000F696D" w:rsidRPr="00627D4A">
        <w:rPr>
          <w:color w:val="000000"/>
          <w:sz w:val="20"/>
          <w:szCs w:val="20"/>
        </w:rPr>
        <w:t xml:space="preserve">. </w:t>
      </w:r>
    </w:p>
    <w:p w14:paraId="5010EEFB" w14:textId="77777777" w:rsidR="005A6581" w:rsidRPr="00627D4A" w:rsidRDefault="0064432F">
      <w:pPr>
        <w:numPr>
          <w:ilvl w:val="0"/>
          <w:numId w:val="1"/>
        </w:numPr>
        <w:pBdr>
          <w:top w:val="nil"/>
          <w:left w:val="nil"/>
          <w:bottom w:val="nil"/>
          <w:right w:val="nil"/>
          <w:between w:val="nil"/>
        </w:pBdr>
        <w:spacing w:line="276" w:lineRule="auto"/>
        <w:rPr>
          <w:color w:val="000000"/>
          <w:sz w:val="20"/>
          <w:szCs w:val="20"/>
          <w:lang w:val="pt-BR"/>
        </w:rPr>
      </w:pPr>
      <w:r w:rsidRPr="00627D4A">
        <w:rPr>
          <w:color w:val="000000"/>
          <w:sz w:val="20"/>
          <w:szCs w:val="20"/>
        </w:rPr>
        <w:t>Moreno-Vitoria L, Cabeza-Ruiz R, Pellicer-</w:t>
      </w:r>
      <w:proofErr w:type="spellStart"/>
      <w:r w:rsidRPr="00627D4A">
        <w:rPr>
          <w:color w:val="000000"/>
          <w:sz w:val="20"/>
          <w:szCs w:val="20"/>
        </w:rPr>
        <w:t>Chenoll</w:t>
      </w:r>
      <w:proofErr w:type="spellEnd"/>
      <w:r w:rsidRPr="00627D4A">
        <w:rPr>
          <w:color w:val="000000"/>
          <w:sz w:val="20"/>
          <w:szCs w:val="20"/>
        </w:rPr>
        <w:t xml:space="preserve"> M. Factors that influence the physical and sports participation of adolescent girls: a systematic review. </w:t>
      </w:r>
      <w:proofErr w:type="spellStart"/>
      <w:r w:rsidRPr="00627D4A">
        <w:rPr>
          <w:color w:val="000000"/>
          <w:sz w:val="20"/>
          <w:szCs w:val="20"/>
          <w:lang w:val="pt-BR"/>
        </w:rPr>
        <w:t>Apunts</w:t>
      </w:r>
      <w:proofErr w:type="spellEnd"/>
      <w:r w:rsidRPr="00627D4A">
        <w:rPr>
          <w:color w:val="000000"/>
          <w:sz w:val="20"/>
          <w:szCs w:val="20"/>
          <w:lang w:val="pt-BR"/>
        </w:rPr>
        <w:t xml:space="preserve"> </w:t>
      </w:r>
      <w:proofErr w:type="spellStart"/>
      <w:r w:rsidRPr="00627D4A">
        <w:rPr>
          <w:color w:val="000000"/>
          <w:sz w:val="20"/>
          <w:szCs w:val="20"/>
          <w:lang w:val="pt-BR"/>
        </w:rPr>
        <w:t>Educ</w:t>
      </w:r>
      <w:proofErr w:type="spellEnd"/>
      <w:r w:rsidRPr="00627D4A">
        <w:rPr>
          <w:color w:val="000000"/>
          <w:sz w:val="20"/>
          <w:szCs w:val="20"/>
          <w:lang w:val="pt-BR"/>
        </w:rPr>
        <w:t xml:space="preserve"> </w:t>
      </w:r>
      <w:proofErr w:type="spellStart"/>
      <w:r w:rsidRPr="00627D4A">
        <w:rPr>
          <w:color w:val="000000"/>
          <w:sz w:val="20"/>
          <w:szCs w:val="20"/>
          <w:lang w:val="pt-BR"/>
        </w:rPr>
        <w:t>Fís</w:t>
      </w:r>
      <w:proofErr w:type="spellEnd"/>
      <w:r w:rsidRPr="00627D4A">
        <w:rPr>
          <w:color w:val="000000"/>
          <w:sz w:val="20"/>
          <w:szCs w:val="20"/>
          <w:lang w:val="pt-BR"/>
        </w:rPr>
        <w:t xml:space="preserve"> Deportes. 2024;(157):19–30. DOI:</w:t>
      </w:r>
      <w:r w:rsidRPr="00627D4A">
        <w:rPr>
          <w:color w:val="000000"/>
          <w:lang w:val="pt-BR"/>
        </w:rPr>
        <w:t xml:space="preserve"> </w:t>
      </w:r>
      <w:hyperlink r:id="rId43">
        <w:r w:rsidR="005A6581" w:rsidRPr="00627D4A">
          <w:rPr>
            <w:color w:val="1155CC"/>
            <w:sz w:val="20"/>
            <w:szCs w:val="20"/>
            <w:u w:val="single"/>
            <w:lang w:val="pt-BR"/>
          </w:rPr>
          <w:t>https://doi.org/10.5672/apunts.2014-0983.es.(2024/3).157.03</w:t>
        </w:r>
      </w:hyperlink>
    </w:p>
    <w:p w14:paraId="34ACE621"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 xml:space="preserve">Millican KM, Emmers-Sommer TM. A content analysis of identity expressions from female cast members on the reality television series WAGs (Wives and Girlfriends of Sports Stars): A case study. </w:t>
      </w:r>
      <w:proofErr w:type="spellStart"/>
      <w:r w:rsidRPr="004E4B93">
        <w:rPr>
          <w:color w:val="000000"/>
          <w:sz w:val="20"/>
          <w:szCs w:val="20"/>
        </w:rPr>
        <w:t>Atl</w:t>
      </w:r>
      <w:proofErr w:type="spellEnd"/>
      <w:r w:rsidRPr="004E4B93">
        <w:rPr>
          <w:color w:val="000000"/>
          <w:sz w:val="20"/>
          <w:szCs w:val="20"/>
        </w:rPr>
        <w:t xml:space="preserve"> J Commun. 2020;30(1):63–78. DOI:</w:t>
      </w:r>
      <w:r w:rsidRPr="004E4B93">
        <w:rPr>
          <w:color w:val="000000"/>
        </w:rPr>
        <w:t xml:space="preserve"> </w:t>
      </w:r>
      <w:hyperlink r:id="rId44">
        <w:r w:rsidR="005A6581" w:rsidRPr="004E4B93">
          <w:rPr>
            <w:color w:val="1155CC"/>
            <w:sz w:val="20"/>
            <w:szCs w:val="20"/>
            <w:u w:val="single"/>
          </w:rPr>
          <w:t>https://doi.org/10.1080/15456870.2020.1825219</w:t>
        </w:r>
      </w:hyperlink>
    </w:p>
    <w:p w14:paraId="68055CBF"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t>Camacho-</w:t>
      </w:r>
      <w:proofErr w:type="spellStart"/>
      <w:r w:rsidRPr="00627D4A">
        <w:rPr>
          <w:color w:val="000000"/>
          <w:sz w:val="20"/>
          <w:szCs w:val="20"/>
          <w:lang w:val="pt-BR"/>
        </w:rPr>
        <w:t>Miñano</w:t>
      </w:r>
      <w:proofErr w:type="spellEnd"/>
      <w:r w:rsidRPr="00627D4A">
        <w:rPr>
          <w:color w:val="000000"/>
          <w:sz w:val="20"/>
          <w:szCs w:val="20"/>
          <w:lang w:val="pt-BR"/>
        </w:rPr>
        <w:t xml:space="preserve"> MJ, </w:t>
      </w:r>
      <w:proofErr w:type="spellStart"/>
      <w:r w:rsidRPr="00627D4A">
        <w:rPr>
          <w:color w:val="000000"/>
          <w:sz w:val="20"/>
          <w:szCs w:val="20"/>
          <w:lang w:val="pt-BR"/>
        </w:rPr>
        <w:t>Girela-Rejón</w:t>
      </w:r>
      <w:proofErr w:type="spellEnd"/>
      <w:r w:rsidRPr="00627D4A">
        <w:rPr>
          <w:color w:val="000000"/>
          <w:sz w:val="20"/>
          <w:szCs w:val="20"/>
          <w:lang w:val="pt-BR"/>
        </w:rPr>
        <w:t xml:space="preserve"> MJ. </w:t>
      </w:r>
      <w:proofErr w:type="spellStart"/>
      <w:r w:rsidRPr="00627D4A">
        <w:rPr>
          <w:color w:val="000000"/>
          <w:sz w:val="20"/>
          <w:szCs w:val="20"/>
          <w:lang w:val="pt-BR"/>
        </w:rPr>
        <w:t>Evaluación</w:t>
      </w:r>
      <w:proofErr w:type="spellEnd"/>
      <w:r w:rsidRPr="00627D4A">
        <w:rPr>
          <w:color w:val="000000"/>
          <w:sz w:val="20"/>
          <w:szCs w:val="20"/>
          <w:lang w:val="pt-BR"/>
        </w:rPr>
        <w:t xml:space="preserve"> de una </w:t>
      </w:r>
      <w:proofErr w:type="spellStart"/>
      <w:r w:rsidRPr="00627D4A">
        <w:rPr>
          <w:color w:val="000000"/>
          <w:sz w:val="20"/>
          <w:szCs w:val="20"/>
          <w:lang w:val="pt-BR"/>
        </w:rPr>
        <w:t>propuesta</w:t>
      </w:r>
      <w:proofErr w:type="spellEnd"/>
      <w:r w:rsidRPr="00627D4A">
        <w:rPr>
          <w:color w:val="000000"/>
          <w:sz w:val="20"/>
          <w:szCs w:val="20"/>
          <w:lang w:val="pt-BR"/>
        </w:rPr>
        <w:t xml:space="preserve"> formativa sobre género </w:t>
      </w:r>
      <w:proofErr w:type="spellStart"/>
      <w:r w:rsidRPr="00627D4A">
        <w:rPr>
          <w:color w:val="000000"/>
          <w:sz w:val="20"/>
          <w:szCs w:val="20"/>
          <w:lang w:val="pt-BR"/>
        </w:rPr>
        <w:t>en</w:t>
      </w:r>
      <w:proofErr w:type="spellEnd"/>
      <w:r w:rsidRPr="00627D4A">
        <w:rPr>
          <w:color w:val="000000"/>
          <w:sz w:val="20"/>
          <w:szCs w:val="20"/>
          <w:lang w:val="pt-BR"/>
        </w:rPr>
        <w:t xml:space="preserve"> </w:t>
      </w:r>
      <w:proofErr w:type="spellStart"/>
      <w:r w:rsidRPr="00627D4A">
        <w:rPr>
          <w:color w:val="000000"/>
          <w:sz w:val="20"/>
          <w:szCs w:val="20"/>
          <w:lang w:val="pt-BR"/>
        </w:rPr>
        <w:t>Educación</w:t>
      </w:r>
      <w:proofErr w:type="spellEnd"/>
      <w:r w:rsidRPr="00627D4A">
        <w:rPr>
          <w:color w:val="000000"/>
          <w:sz w:val="20"/>
          <w:szCs w:val="20"/>
          <w:lang w:val="pt-BR"/>
        </w:rPr>
        <w:t xml:space="preserve"> Física para </w:t>
      </w:r>
      <w:proofErr w:type="spellStart"/>
      <w:r w:rsidRPr="00627D4A">
        <w:rPr>
          <w:color w:val="000000"/>
          <w:sz w:val="20"/>
          <w:szCs w:val="20"/>
          <w:lang w:val="pt-BR"/>
        </w:rPr>
        <w:t>estudiantes</w:t>
      </w:r>
      <w:proofErr w:type="spellEnd"/>
      <w:r w:rsidRPr="00627D4A">
        <w:rPr>
          <w:color w:val="000000"/>
          <w:sz w:val="20"/>
          <w:szCs w:val="20"/>
          <w:lang w:val="pt-BR"/>
        </w:rPr>
        <w:t xml:space="preserve"> de </w:t>
      </w:r>
      <w:proofErr w:type="spellStart"/>
      <w:r w:rsidRPr="00627D4A">
        <w:rPr>
          <w:color w:val="000000"/>
          <w:sz w:val="20"/>
          <w:szCs w:val="20"/>
          <w:lang w:val="pt-BR"/>
        </w:rPr>
        <w:t>Ciencias</w:t>
      </w:r>
      <w:proofErr w:type="spellEnd"/>
      <w:r w:rsidRPr="00627D4A">
        <w:rPr>
          <w:color w:val="000000"/>
          <w:sz w:val="20"/>
          <w:szCs w:val="20"/>
          <w:lang w:val="pt-BR"/>
        </w:rPr>
        <w:t xml:space="preserve"> de </w:t>
      </w:r>
      <w:proofErr w:type="spellStart"/>
      <w:r w:rsidRPr="00627D4A">
        <w:rPr>
          <w:color w:val="000000"/>
          <w:sz w:val="20"/>
          <w:szCs w:val="20"/>
          <w:lang w:val="pt-BR"/>
        </w:rPr>
        <w:t>la</w:t>
      </w:r>
      <w:proofErr w:type="spellEnd"/>
      <w:r w:rsidRPr="00627D4A">
        <w:rPr>
          <w:color w:val="000000"/>
          <w:sz w:val="20"/>
          <w:szCs w:val="20"/>
          <w:lang w:val="pt-BR"/>
        </w:rPr>
        <w:t xml:space="preserve"> </w:t>
      </w:r>
      <w:proofErr w:type="spellStart"/>
      <w:r w:rsidRPr="00627D4A">
        <w:rPr>
          <w:color w:val="000000"/>
          <w:sz w:val="20"/>
          <w:szCs w:val="20"/>
          <w:lang w:val="pt-BR"/>
        </w:rPr>
        <w:t>Actividad</w:t>
      </w:r>
      <w:proofErr w:type="spellEnd"/>
      <w:r w:rsidRPr="00627D4A">
        <w:rPr>
          <w:color w:val="000000"/>
          <w:sz w:val="20"/>
          <w:szCs w:val="20"/>
          <w:lang w:val="pt-BR"/>
        </w:rPr>
        <w:t xml:space="preserve"> Física y </w:t>
      </w:r>
      <w:proofErr w:type="spellStart"/>
      <w:proofErr w:type="gramStart"/>
      <w:r w:rsidRPr="00627D4A">
        <w:rPr>
          <w:color w:val="000000"/>
          <w:sz w:val="20"/>
          <w:szCs w:val="20"/>
          <w:lang w:val="pt-BR"/>
        </w:rPr>
        <w:t>el</w:t>
      </w:r>
      <w:proofErr w:type="spellEnd"/>
      <w:r w:rsidRPr="00627D4A">
        <w:rPr>
          <w:color w:val="000000"/>
          <w:sz w:val="20"/>
          <w:szCs w:val="20"/>
          <w:lang w:val="pt-BR"/>
        </w:rPr>
        <w:t xml:space="preserve"> Deporte</w:t>
      </w:r>
      <w:proofErr w:type="gramEnd"/>
      <w:r w:rsidRPr="00627D4A">
        <w:rPr>
          <w:color w:val="000000"/>
          <w:sz w:val="20"/>
          <w:szCs w:val="20"/>
          <w:lang w:val="pt-BR"/>
        </w:rPr>
        <w:t xml:space="preserve">. </w:t>
      </w:r>
      <w:r w:rsidRPr="004E4B93">
        <w:rPr>
          <w:color w:val="000000"/>
          <w:sz w:val="20"/>
          <w:szCs w:val="20"/>
        </w:rPr>
        <w:t xml:space="preserve">Cult </w:t>
      </w:r>
      <w:proofErr w:type="spellStart"/>
      <w:r w:rsidRPr="004E4B93">
        <w:rPr>
          <w:color w:val="000000"/>
          <w:sz w:val="20"/>
          <w:szCs w:val="20"/>
        </w:rPr>
        <w:t>Cienc</w:t>
      </w:r>
      <w:proofErr w:type="spellEnd"/>
      <w:r w:rsidRPr="004E4B93">
        <w:rPr>
          <w:color w:val="000000"/>
          <w:sz w:val="20"/>
          <w:szCs w:val="20"/>
        </w:rPr>
        <w:t xml:space="preserve"> </w:t>
      </w:r>
      <w:proofErr w:type="spellStart"/>
      <w:r w:rsidRPr="004E4B93">
        <w:rPr>
          <w:color w:val="000000"/>
          <w:sz w:val="20"/>
          <w:szCs w:val="20"/>
        </w:rPr>
        <w:t>Deporte</w:t>
      </w:r>
      <w:proofErr w:type="spellEnd"/>
      <w:r w:rsidRPr="004E4B93">
        <w:rPr>
          <w:color w:val="000000"/>
          <w:sz w:val="20"/>
          <w:szCs w:val="20"/>
        </w:rPr>
        <w:t>. 2017;12(36):195–202. DOI:</w:t>
      </w:r>
      <w:r w:rsidRPr="004E4B93">
        <w:rPr>
          <w:color w:val="000000"/>
        </w:rPr>
        <w:t xml:space="preserve"> </w:t>
      </w:r>
      <w:hyperlink r:id="rId45">
        <w:r w:rsidR="005A6581" w:rsidRPr="004E4B93">
          <w:rPr>
            <w:color w:val="1155CC"/>
            <w:sz w:val="20"/>
            <w:szCs w:val="20"/>
            <w:u w:val="single"/>
          </w:rPr>
          <w:t>https://doi.org/10.12800/ccd.v12i36.950</w:t>
        </w:r>
      </w:hyperlink>
    </w:p>
    <w:p w14:paraId="30C406A5"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Martínez-Andrés M, Bartolomé-Gutiérrez R, Rodríguez-Martín B, Pardo-Guijarro MJ, Martínez-</w:t>
      </w:r>
      <w:proofErr w:type="spellStart"/>
      <w:r w:rsidRPr="004E4B93">
        <w:rPr>
          <w:color w:val="000000"/>
          <w:sz w:val="20"/>
          <w:szCs w:val="20"/>
        </w:rPr>
        <w:t>Vizcaíno</w:t>
      </w:r>
      <w:proofErr w:type="spellEnd"/>
      <w:r w:rsidRPr="004E4B93">
        <w:rPr>
          <w:color w:val="000000"/>
          <w:sz w:val="20"/>
          <w:szCs w:val="20"/>
        </w:rPr>
        <w:t xml:space="preserve"> V. “Football is a boys’ game”: children’s perceptions about barriers for physical activity during recess time. Int J Qual Stud Health Well-being. 2017;12(1). DOI:</w:t>
      </w:r>
      <w:r w:rsidRPr="004E4B93">
        <w:rPr>
          <w:color w:val="000000"/>
        </w:rPr>
        <w:t xml:space="preserve"> </w:t>
      </w:r>
      <w:hyperlink r:id="rId46">
        <w:r w:rsidR="005A6581" w:rsidRPr="004E4B93">
          <w:rPr>
            <w:color w:val="1155CC"/>
            <w:sz w:val="20"/>
            <w:szCs w:val="20"/>
            <w:u w:val="single"/>
          </w:rPr>
          <w:t>https://doi.org/10.1080/17482631.2017.1379338</w:t>
        </w:r>
      </w:hyperlink>
    </w:p>
    <w:p w14:paraId="6B3FBA0F"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proofErr w:type="spellStart"/>
      <w:r w:rsidRPr="004E4B93">
        <w:rPr>
          <w:color w:val="000000"/>
          <w:sz w:val="20"/>
          <w:szCs w:val="20"/>
        </w:rPr>
        <w:t>Rivoltella</w:t>
      </w:r>
      <w:proofErr w:type="spellEnd"/>
      <w:r w:rsidRPr="004E4B93">
        <w:rPr>
          <w:color w:val="000000"/>
          <w:sz w:val="20"/>
          <w:szCs w:val="20"/>
        </w:rPr>
        <w:t xml:space="preserve"> PC. Italian media educational situation and challenges for the next future [</w:t>
      </w:r>
      <w:proofErr w:type="spellStart"/>
      <w:r w:rsidRPr="004E4B93">
        <w:rPr>
          <w:color w:val="000000"/>
          <w:sz w:val="20"/>
          <w:szCs w:val="20"/>
        </w:rPr>
        <w:t>Realidad</w:t>
      </w:r>
      <w:proofErr w:type="spellEnd"/>
      <w:r w:rsidRPr="004E4B93">
        <w:rPr>
          <w:color w:val="000000"/>
          <w:sz w:val="20"/>
          <w:szCs w:val="20"/>
        </w:rPr>
        <w:t xml:space="preserve"> y </w:t>
      </w:r>
      <w:proofErr w:type="spellStart"/>
      <w:r w:rsidRPr="004E4B93">
        <w:rPr>
          <w:color w:val="000000"/>
          <w:sz w:val="20"/>
          <w:szCs w:val="20"/>
        </w:rPr>
        <w:t>desafíos</w:t>
      </w:r>
      <w:proofErr w:type="spellEnd"/>
      <w:r w:rsidRPr="004E4B93">
        <w:rPr>
          <w:color w:val="000000"/>
          <w:sz w:val="20"/>
          <w:szCs w:val="20"/>
        </w:rPr>
        <w:t xml:space="preserve"> de la </w:t>
      </w:r>
      <w:proofErr w:type="spellStart"/>
      <w:r w:rsidRPr="004E4B93">
        <w:rPr>
          <w:color w:val="000000"/>
          <w:sz w:val="20"/>
          <w:szCs w:val="20"/>
        </w:rPr>
        <w:t>educación</w:t>
      </w:r>
      <w:proofErr w:type="spellEnd"/>
      <w:r w:rsidRPr="004E4B93">
        <w:rPr>
          <w:color w:val="000000"/>
          <w:sz w:val="20"/>
          <w:szCs w:val="20"/>
        </w:rPr>
        <w:t xml:space="preserve"> </w:t>
      </w:r>
      <w:proofErr w:type="spellStart"/>
      <w:r w:rsidRPr="004E4B93">
        <w:rPr>
          <w:color w:val="000000"/>
          <w:sz w:val="20"/>
          <w:szCs w:val="20"/>
        </w:rPr>
        <w:t>en</w:t>
      </w:r>
      <w:proofErr w:type="spellEnd"/>
      <w:r w:rsidRPr="004E4B93">
        <w:rPr>
          <w:color w:val="000000"/>
          <w:sz w:val="20"/>
          <w:szCs w:val="20"/>
        </w:rPr>
        <w:t xml:space="preserve"> </w:t>
      </w:r>
      <w:proofErr w:type="spellStart"/>
      <w:r w:rsidRPr="004E4B93">
        <w:rPr>
          <w:color w:val="000000"/>
          <w:sz w:val="20"/>
          <w:szCs w:val="20"/>
        </w:rPr>
        <w:t>medios</w:t>
      </w:r>
      <w:proofErr w:type="spellEnd"/>
      <w:r w:rsidRPr="004E4B93">
        <w:rPr>
          <w:color w:val="000000"/>
          <w:sz w:val="20"/>
          <w:szCs w:val="20"/>
        </w:rPr>
        <w:t xml:space="preserve"> </w:t>
      </w:r>
      <w:proofErr w:type="spellStart"/>
      <w:r w:rsidRPr="004E4B93">
        <w:rPr>
          <w:color w:val="000000"/>
          <w:sz w:val="20"/>
          <w:szCs w:val="20"/>
        </w:rPr>
        <w:t>en</w:t>
      </w:r>
      <w:proofErr w:type="spellEnd"/>
      <w:r w:rsidRPr="004E4B93">
        <w:rPr>
          <w:color w:val="000000"/>
          <w:sz w:val="20"/>
          <w:szCs w:val="20"/>
        </w:rPr>
        <w:t xml:space="preserve"> Italia]. </w:t>
      </w:r>
      <w:proofErr w:type="spellStart"/>
      <w:r w:rsidRPr="004E4B93">
        <w:rPr>
          <w:color w:val="000000"/>
          <w:sz w:val="20"/>
          <w:szCs w:val="20"/>
        </w:rPr>
        <w:t>Comunicar</w:t>
      </w:r>
      <w:proofErr w:type="spellEnd"/>
      <w:r w:rsidRPr="004E4B93">
        <w:rPr>
          <w:color w:val="000000"/>
          <w:sz w:val="20"/>
          <w:szCs w:val="20"/>
        </w:rPr>
        <w:t>. 2007;(28):18–24. DOI:</w:t>
      </w:r>
      <w:r w:rsidRPr="004E4B93">
        <w:rPr>
          <w:color w:val="000000"/>
        </w:rPr>
        <w:t xml:space="preserve"> </w:t>
      </w:r>
      <w:hyperlink r:id="rId47">
        <w:r w:rsidR="005A6581" w:rsidRPr="004E4B93">
          <w:rPr>
            <w:color w:val="1155CC"/>
            <w:sz w:val="20"/>
            <w:szCs w:val="20"/>
            <w:u w:val="single"/>
          </w:rPr>
          <w:t>https://doi.org/10.3916/C28-2007-01</w:t>
        </w:r>
      </w:hyperlink>
    </w:p>
    <w:p w14:paraId="06D1D4A7"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t>Pardo-</w:t>
      </w:r>
      <w:proofErr w:type="spellStart"/>
      <w:r w:rsidRPr="00627D4A">
        <w:rPr>
          <w:color w:val="000000"/>
          <w:sz w:val="20"/>
          <w:szCs w:val="20"/>
          <w:lang w:val="pt-BR"/>
        </w:rPr>
        <w:t>Arquero</w:t>
      </w:r>
      <w:proofErr w:type="spellEnd"/>
      <w:r w:rsidRPr="00627D4A">
        <w:rPr>
          <w:color w:val="000000"/>
          <w:sz w:val="20"/>
          <w:szCs w:val="20"/>
          <w:lang w:val="pt-BR"/>
        </w:rPr>
        <w:t xml:space="preserve"> V. </w:t>
      </w:r>
      <w:proofErr w:type="spellStart"/>
      <w:r w:rsidRPr="00627D4A">
        <w:rPr>
          <w:color w:val="000000"/>
          <w:sz w:val="20"/>
          <w:szCs w:val="20"/>
          <w:lang w:val="pt-BR"/>
        </w:rPr>
        <w:t>Principales</w:t>
      </w:r>
      <w:proofErr w:type="spellEnd"/>
      <w:r w:rsidRPr="00627D4A">
        <w:rPr>
          <w:color w:val="000000"/>
          <w:sz w:val="20"/>
          <w:szCs w:val="20"/>
          <w:lang w:val="pt-BR"/>
        </w:rPr>
        <w:t xml:space="preserve"> referentes </w:t>
      </w:r>
      <w:proofErr w:type="spellStart"/>
      <w:r w:rsidRPr="00627D4A">
        <w:rPr>
          <w:color w:val="000000"/>
          <w:sz w:val="20"/>
          <w:szCs w:val="20"/>
          <w:lang w:val="pt-BR"/>
        </w:rPr>
        <w:t>deportistas</w:t>
      </w:r>
      <w:proofErr w:type="spellEnd"/>
      <w:r w:rsidRPr="00627D4A">
        <w:rPr>
          <w:color w:val="000000"/>
          <w:sz w:val="20"/>
          <w:szCs w:val="20"/>
          <w:lang w:val="pt-BR"/>
        </w:rPr>
        <w:t xml:space="preserve"> para </w:t>
      </w:r>
      <w:proofErr w:type="spellStart"/>
      <w:r w:rsidRPr="00627D4A">
        <w:rPr>
          <w:color w:val="000000"/>
          <w:sz w:val="20"/>
          <w:szCs w:val="20"/>
          <w:lang w:val="pt-BR"/>
        </w:rPr>
        <w:t>el</w:t>
      </w:r>
      <w:proofErr w:type="spellEnd"/>
      <w:r w:rsidRPr="00627D4A">
        <w:rPr>
          <w:color w:val="000000"/>
          <w:sz w:val="20"/>
          <w:szCs w:val="20"/>
          <w:lang w:val="pt-BR"/>
        </w:rPr>
        <w:t xml:space="preserve"> </w:t>
      </w:r>
      <w:proofErr w:type="spellStart"/>
      <w:r w:rsidRPr="00627D4A">
        <w:rPr>
          <w:color w:val="000000"/>
          <w:sz w:val="20"/>
          <w:szCs w:val="20"/>
          <w:lang w:val="pt-BR"/>
        </w:rPr>
        <w:t>alumnado</w:t>
      </w:r>
      <w:proofErr w:type="spellEnd"/>
      <w:r w:rsidRPr="00627D4A">
        <w:rPr>
          <w:color w:val="000000"/>
          <w:sz w:val="20"/>
          <w:szCs w:val="20"/>
          <w:lang w:val="pt-BR"/>
        </w:rPr>
        <w:t xml:space="preserve"> de sexto curso (12 </w:t>
      </w:r>
      <w:proofErr w:type="spellStart"/>
      <w:r w:rsidRPr="00627D4A">
        <w:rPr>
          <w:color w:val="000000"/>
          <w:sz w:val="20"/>
          <w:szCs w:val="20"/>
          <w:lang w:val="pt-BR"/>
        </w:rPr>
        <w:t>años</w:t>
      </w:r>
      <w:proofErr w:type="spellEnd"/>
      <w:r w:rsidRPr="00627D4A">
        <w:rPr>
          <w:color w:val="000000"/>
          <w:sz w:val="20"/>
          <w:szCs w:val="20"/>
          <w:lang w:val="pt-BR"/>
        </w:rPr>
        <w:t xml:space="preserve">) de </w:t>
      </w:r>
      <w:proofErr w:type="spellStart"/>
      <w:r w:rsidRPr="00627D4A">
        <w:rPr>
          <w:color w:val="000000"/>
          <w:sz w:val="20"/>
          <w:szCs w:val="20"/>
          <w:lang w:val="pt-BR"/>
        </w:rPr>
        <w:t>un</w:t>
      </w:r>
      <w:proofErr w:type="spellEnd"/>
      <w:r w:rsidRPr="00627D4A">
        <w:rPr>
          <w:color w:val="000000"/>
          <w:sz w:val="20"/>
          <w:szCs w:val="20"/>
          <w:lang w:val="pt-BR"/>
        </w:rPr>
        <w:t xml:space="preserve"> </w:t>
      </w:r>
      <w:proofErr w:type="spellStart"/>
      <w:r w:rsidRPr="00627D4A">
        <w:rPr>
          <w:color w:val="000000"/>
          <w:sz w:val="20"/>
          <w:szCs w:val="20"/>
          <w:lang w:val="pt-BR"/>
        </w:rPr>
        <w:t>colegio</w:t>
      </w:r>
      <w:proofErr w:type="spellEnd"/>
      <w:r w:rsidRPr="00627D4A">
        <w:rPr>
          <w:color w:val="000000"/>
          <w:sz w:val="20"/>
          <w:szCs w:val="20"/>
          <w:lang w:val="pt-BR"/>
        </w:rPr>
        <w:t xml:space="preserve"> público. </w:t>
      </w:r>
      <w:r w:rsidRPr="004E4B93">
        <w:rPr>
          <w:color w:val="000000"/>
          <w:sz w:val="20"/>
          <w:szCs w:val="20"/>
        </w:rPr>
        <w:t xml:space="preserve">E-CO Rev Digit </w:t>
      </w:r>
      <w:proofErr w:type="spellStart"/>
      <w:r w:rsidRPr="004E4B93">
        <w:rPr>
          <w:color w:val="000000"/>
          <w:sz w:val="20"/>
          <w:szCs w:val="20"/>
        </w:rPr>
        <w:t>Educ</w:t>
      </w:r>
      <w:proofErr w:type="spellEnd"/>
      <w:r w:rsidRPr="004E4B93">
        <w:rPr>
          <w:color w:val="000000"/>
          <w:sz w:val="20"/>
          <w:szCs w:val="20"/>
        </w:rPr>
        <w:t xml:space="preserve"> Form Prof. 2023[cited 2025 Jul 14</w:t>
      </w:r>
      <w:proofErr w:type="gramStart"/>
      <w:r w:rsidRPr="004E4B93">
        <w:rPr>
          <w:color w:val="000000"/>
          <w:sz w:val="20"/>
          <w:szCs w:val="20"/>
        </w:rPr>
        <w:t>];20:49</w:t>
      </w:r>
      <w:proofErr w:type="gramEnd"/>
      <w:r w:rsidRPr="004E4B93">
        <w:rPr>
          <w:color w:val="000000"/>
          <w:sz w:val="20"/>
          <w:szCs w:val="20"/>
        </w:rPr>
        <w:t xml:space="preserve">–65. Available from: </w:t>
      </w:r>
      <w:hyperlink r:id="rId48">
        <w:r w:rsidR="005A6581" w:rsidRPr="004E4B93">
          <w:rPr>
            <w:color w:val="1155CC"/>
            <w:sz w:val="20"/>
            <w:szCs w:val="20"/>
            <w:u w:val="single"/>
          </w:rPr>
          <w:t>https://dialnet.unirioja.es/servlet/articulo?codigo=8907039</w:t>
        </w:r>
      </w:hyperlink>
    </w:p>
    <w:p w14:paraId="3AD7C03E"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 xml:space="preserve">Puertas-Molero P, Marfil-Carmona R, Zurita-Ortega F, González-Valero G. Impact of sports mass media on the </w:t>
      </w:r>
      <w:proofErr w:type="spellStart"/>
      <w:r w:rsidRPr="004E4B93">
        <w:rPr>
          <w:color w:val="000000"/>
          <w:sz w:val="20"/>
          <w:szCs w:val="20"/>
        </w:rPr>
        <w:t>behavior</w:t>
      </w:r>
      <w:proofErr w:type="spellEnd"/>
      <w:r w:rsidRPr="004E4B93">
        <w:rPr>
          <w:color w:val="000000"/>
          <w:sz w:val="20"/>
          <w:szCs w:val="20"/>
        </w:rPr>
        <w:t xml:space="preserve"> and health of society: a systematic review. Int J Environ Res Public Health. 2019;16(3):486. DOI:</w:t>
      </w:r>
      <w:r w:rsidRPr="004E4B93">
        <w:rPr>
          <w:color w:val="000000"/>
        </w:rPr>
        <w:t xml:space="preserve"> </w:t>
      </w:r>
      <w:hyperlink r:id="rId49">
        <w:r w:rsidR="005A6581" w:rsidRPr="004E4B93">
          <w:rPr>
            <w:color w:val="1155CC"/>
            <w:sz w:val="20"/>
            <w:szCs w:val="20"/>
            <w:u w:val="single"/>
          </w:rPr>
          <w:t>https://doi.org/10.3390/ijerph16030486</w:t>
        </w:r>
      </w:hyperlink>
    </w:p>
    <w:p w14:paraId="01F6DF7F"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4E4B93">
        <w:rPr>
          <w:color w:val="000000"/>
          <w:sz w:val="20"/>
          <w:szCs w:val="20"/>
        </w:rPr>
        <w:t>Recio D, Gil J, Romero E. Impact and engagement of sport &amp; fitness influencers: A challenge for health education media literacy. Online J Commun Media Technol. 2023;13(3</w:t>
      </w:r>
      <w:proofErr w:type="gramStart"/>
      <w:r w:rsidRPr="004E4B93">
        <w:rPr>
          <w:color w:val="000000"/>
          <w:sz w:val="20"/>
          <w:szCs w:val="20"/>
        </w:rPr>
        <w:t>):e</w:t>
      </w:r>
      <w:proofErr w:type="gramEnd"/>
      <w:r w:rsidRPr="004E4B93">
        <w:rPr>
          <w:color w:val="000000"/>
          <w:sz w:val="20"/>
          <w:szCs w:val="20"/>
        </w:rPr>
        <w:t>202334. DOI:</w:t>
      </w:r>
      <w:r w:rsidRPr="004E4B93">
        <w:rPr>
          <w:color w:val="000000"/>
        </w:rPr>
        <w:t xml:space="preserve"> </w:t>
      </w:r>
      <w:hyperlink r:id="rId50">
        <w:r w:rsidR="005A6581" w:rsidRPr="004E4B93">
          <w:rPr>
            <w:color w:val="1155CC"/>
            <w:sz w:val="20"/>
            <w:szCs w:val="20"/>
            <w:u w:val="single"/>
          </w:rPr>
          <w:t>https://doi.org/10.30935/ojcmt/13309</w:t>
        </w:r>
      </w:hyperlink>
    </w:p>
    <w:p w14:paraId="76E8BDDC" w14:textId="77777777" w:rsidR="005A6581" w:rsidRPr="004E4B93" w:rsidRDefault="0064432F">
      <w:pPr>
        <w:numPr>
          <w:ilvl w:val="0"/>
          <w:numId w:val="1"/>
        </w:numPr>
        <w:pBdr>
          <w:top w:val="nil"/>
          <w:left w:val="nil"/>
          <w:bottom w:val="nil"/>
          <w:right w:val="nil"/>
          <w:between w:val="nil"/>
        </w:pBdr>
        <w:spacing w:line="276" w:lineRule="auto"/>
        <w:rPr>
          <w:color w:val="000000"/>
          <w:sz w:val="20"/>
          <w:szCs w:val="20"/>
        </w:rPr>
      </w:pPr>
      <w:r w:rsidRPr="00627D4A">
        <w:rPr>
          <w:color w:val="000000"/>
          <w:sz w:val="20"/>
          <w:szCs w:val="20"/>
          <w:lang w:val="pt-BR"/>
        </w:rPr>
        <w:t xml:space="preserve">Bianchi P, Moraes JCP, Viana Filho EG. Educação Física na perspectiva da Mídia-Educação: relato de uma experiência na escola. </w:t>
      </w:r>
      <w:r w:rsidRPr="004E4B93">
        <w:rPr>
          <w:color w:val="000000"/>
          <w:sz w:val="20"/>
          <w:szCs w:val="20"/>
        </w:rPr>
        <w:t>Cad Apl. 2023;36. DOI:</w:t>
      </w:r>
      <w:r w:rsidRPr="004E4B93">
        <w:rPr>
          <w:color w:val="000000"/>
        </w:rPr>
        <w:t xml:space="preserve"> </w:t>
      </w:r>
      <w:hyperlink r:id="rId51">
        <w:r w:rsidR="005A6581" w:rsidRPr="004E4B93">
          <w:rPr>
            <w:color w:val="1155CC"/>
            <w:sz w:val="20"/>
            <w:szCs w:val="20"/>
            <w:u w:val="single"/>
          </w:rPr>
          <w:t>https://doi.org/10.22456/2595-4377.133374</w:t>
        </w:r>
      </w:hyperlink>
    </w:p>
    <w:p w14:paraId="59C8A000" w14:textId="77777777" w:rsidR="005A6581" w:rsidRPr="00627D4A" w:rsidRDefault="0064432F">
      <w:pPr>
        <w:numPr>
          <w:ilvl w:val="0"/>
          <w:numId w:val="1"/>
        </w:numPr>
        <w:pBdr>
          <w:top w:val="nil"/>
          <w:left w:val="nil"/>
          <w:bottom w:val="nil"/>
          <w:right w:val="nil"/>
          <w:between w:val="nil"/>
        </w:pBdr>
        <w:spacing w:line="276" w:lineRule="auto"/>
        <w:rPr>
          <w:color w:val="000000"/>
          <w:sz w:val="20"/>
          <w:szCs w:val="20"/>
          <w:lang w:val="pt-BR"/>
        </w:rPr>
      </w:pPr>
      <w:r w:rsidRPr="00627D4A">
        <w:rPr>
          <w:color w:val="000000"/>
          <w:sz w:val="20"/>
          <w:szCs w:val="20"/>
          <w:lang w:val="pt-BR"/>
        </w:rPr>
        <w:lastRenderedPageBreak/>
        <w:t>Gil-Quintana J, Gil-</w:t>
      </w:r>
      <w:proofErr w:type="spellStart"/>
      <w:r w:rsidRPr="00627D4A">
        <w:rPr>
          <w:color w:val="000000"/>
          <w:sz w:val="20"/>
          <w:szCs w:val="20"/>
          <w:lang w:val="pt-BR"/>
        </w:rPr>
        <w:t>Tevar</w:t>
      </w:r>
      <w:proofErr w:type="spellEnd"/>
      <w:r w:rsidRPr="00627D4A">
        <w:rPr>
          <w:color w:val="000000"/>
          <w:sz w:val="20"/>
          <w:szCs w:val="20"/>
          <w:lang w:val="pt-BR"/>
        </w:rPr>
        <w:t xml:space="preserve"> S. Series de </w:t>
      </w:r>
      <w:proofErr w:type="spellStart"/>
      <w:r w:rsidRPr="00627D4A">
        <w:rPr>
          <w:color w:val="000000"/>
          <w:sz w:val="20"/>
          <w:szCs w:val="20"/>
          <w:lang w:val="pt-BR"/>
        </w:rPr>
        <w:t>ficción</w:t>
      </w:r>
      <w:proofErr w:type="spellEnd"/>
      <w:r w:rsidRPr="00627D4A">
        <w:rPr>
          <w:color w:val="000000"/>
          <w:sz w:val="20"/>
          <w:szCs w:val="20"/>
          <w:lang w:val="pt-BR"/>
        </w:rPr>
        <w:t xml:space="preserve"> como </w:t>
      </w:r>
      <w:proofErr w:type="spellStart"/>
      <w:r w:rsidRPr="00627D4A">
        <w:rPr>
          <w:color w:val="000000"/>
          <w:sz w:val="20"/>
          <w:szCs w:val="20"/>
          <w:lang w:val="pt-BR"/>
        </w:rPr>
        <w:t>medio</w:t>
      </w:r>
      <w:proofErr w:type="spellEnd"/>
      <w:r w:rsidRPr="00627D4A">
        <w:rPr>
          <w:color w:val="000000"/>
          <w:sz w:val="20"/>
          <w:szCs w:val="20"/>
          <w:lang w:val="pt-BR"/>
        </w:rPr>
        <w:t xml:space="preserve"> de </w:t>
      </w:r>
      <w:proofErr w:type="spellStart"/>
      <w:r w:rsidRPr="00627D4A">
        <w:rPr>
          <w:color w:val="000000"/>
          <w:sz w:val="20"/>
          <w:szCs w:val="20"/>
          <w:lang w:val="pt-BR"/>
        </w:rPr>
        <w:t>coeducación</w:t>
      </w:r>
      <w:proofErr w:type="spellEnd"/>
      <w:r w:rsidRPr="00627D4A">
        <w:rPr>
          <w:color w:val="000000"/>
          <w:sz w:val="20"/>
          <w:szCs w:val="20"/>
          <w:lang w:val="pt-BR"/>
        </w:rPr>
        <w:t xml:space="preserve"> para adolescentes. Estudio de caso: </w:t>
      </w:r>
      <w:proofErr w:type="spellStart"/>
      <w:r w:rsidRPr="00627D4A">
        <w:rPr>
          <w:color w:val="000000"/>
          <w:sz w:val="20"/>
          <w:szCs w:val="20"/>
          <w:lang w:val="pt-BR"/>
        </w:rPr>
        <w:t>Las</w:t>
      </w:r>
      <w:proofErr w:type="spellEnd"/>
      <w:r w:rsidRPr="00627D4A">
        <w:rPr>
          <w:color w:val="000000"/>
          <w:sz w:val="20"/>
          <w:szCs w:val="20"/>
          <w:lang w:val="pt-BR"/>
        </w:rPr>
        <w:t xml:space="preserve"> </w:t>
      </w:r>
      <w:proofErr w:type="spellStart"/>
      <w:r w:rsidRPr="00627D4A">
        <w:rPr>
          <w:color w:val="000000"/>
          <w:sz w:val="20"/>
          <w:szCs w:val="20"/>
          <w:lang w:val="pt-BR"/>
        </w:rPr>
        <w:t>del</w:t>
      </w:r>
      <w:proofErr w:type="spellEnd"/>
      <w:r w:rsidRPr="00627D4A">
        <w:rPr>
          <w:color w:val="000000"/>
          <w:sz w:val="20"/>
          <w:szCs w:val="20"/>
          <w:lang w:val="pt-BR"/>
        </w:rPr>
        <w:t xml:space="preserve"> Hockey. Fonseca J </w:t>
      </w:r>
      <w:proofErr w:type="spellStart"/>
      <w:r w:rsidRPr="00627D4A">
        <w:rPr>
          <w:color w:val="000000"/>
          <w:sz w:val="20"/>
          <w:szCs w:val="20"/>
          <w:lang w:val="pt-BR"/>
        </w:rPr>
        <w:t>Commun</w:t>
      </w:r>
      <w:proofErr w:type="spellEnd"/>
      <w:r w:rsidRPr="00627D4A">
        <w:rPr>
          <w:color w:val="000000"/>
          <w:sz w:val="20"/>
          <w:szCs w:val="20"/>
          <w:lang w:val="pt-BR"/>
        </w:rPr>
        <w:t>. 2020;(21):22. DOI:</w:t>
      </w:r>
      <w:r w:rsidRPr="00627D4A">
        <w:rPr>
          <w:color w:val="000000"/>
          <w:lang w:val="pt-BR"/>
        </w:rPr>
        <w:t xml:space="preserve"> </w:t>
      </w:r>
      <w:hyperlink r:id="rId52">
        <w:r w:rsidR="005A6581" w:rsidRPr="00627D4A">
          <w:rPr>
            <w:color w:val="1155CC"/>
            <w:sz w:val="20"/>
            <w:szCs w:val="20"/>
            <w:u w:val="single"/>
            <w:lang w:val="pt-BR"/>
          </w:rPr>
          <w:t>https://doi.org/10.14201/fjc2020216586</w:t>
        </w:r>
      </w:hyperlink>
    </w:p>
    <w:p w14:paraId="00AF1352" w14:textId="77777777" w:rsidR="005A6581" w:rsidRDefault="005A6581">
      <w:pPr>
        <w:ind w:left="1560" w:hanging="1560"/>
        <w:jc w:val="both"/>
        <w:rPr>
          <w:b/>
          <w:color w:val="111111"/>
          <w:sz w:val="20"/>
          <w:szCs w:val="20"/>
          <w:lang w:val="pt-BR"/>
        </w:rPr>
      </w:pPr>
    </w:p>
    <w:p w14:paraId="51536990" w14:textId="77777777" w:rsidR="00627D4A" w:rsidRDefault="00627D4A" w:rsidP="00627D4A">
      <w:pPr>
        <w:ind w:left="284" w:hanging="284"/>
        <w:jc w:val="both"/>
        <w:rPr>
          <w:sz w:val="20"/>
          <w:szCs w:val="20"/>
        </w:rPr>
      </w:pPr>
      <w:r w:rsidRPr="0024649E">
        <w:rPr>
          <w:b/>
          <w:bCs/>
          <w:sz w:val="20"/>
          <w:szCs w:val="20"/>
        </w:rPr>
        <w:t>Data Availability Statement</w:t>
      </w:r>
      <w:r w:rsidRPr="0024649E">
        <w:rPr>
          <w:sz w:val="20"/>
          <w:szCs w:val="20"/>
        </w:rPr>
        <w:t>: The data supporting the findings of this study are available within the article.</w:t>
      </w:r>
    </w:p>
    <w:p w14:paraId="1D981483" w14:textId="77777777" w:rsidR="005A6581" w:rsidRPr="00627D4A" w:rsidRDefault="005A6581">
      <w:pPr>
        <w:ind w:left="1560" w:hanging="1560"/>
        <w:jc w:val="both"/>
        <w:rPr>
          <w:b/>
          <w:color w:val="111111"/>
          <w:sz w:val="20"/>
          <w:szCs w:val="20"/>
          <w:lang w:val="en-US"/>
        </w:rPr>
      </w:pPr>
    </w:p>
    <w:p w14:paraId="6E57A534" w14:textId="77777777" w:rsidR="005A6581" w:rsidRPr="004E4B93" w:rsidRDefault="0064432F" w:rsidP="009B602F">
      <w:pPr>
        <w:ind w:left="709" w:hanging="709"/>
        <w:jc w:val="both"/>
        <w:rPr>
          <w:b/>
          <w:color w:val="111111"/>
          <w:sz w:val="20"/>
          <w:szCs w:val="20"/>
        </w:rPr>
      </w:pPr>
      <w:r w:rsidRPr="004E4B93">
        <w:rPr>
          <w:b/>
          <w:color w:val="111111"/>
          <w:sz w:val="20"/>
          <w:szCs w:val="20"/>
        </w:rPr>
        <w:t xml:space="preserve">Funding: </w:t>
      </w:r>
      <w:r w:rsidRPr="004E4B93">
        <w:rPr>
          <w:color w:val="111111"/>
          <w:sz w:val="20"/>
          <w:szCs w:val="20"/>
        </w:rPr>
        <w:t>This work was funded through grants from the VII Own Research and Knowledge Transfer Plan of the University of Seville (Spain). (Ref. VII PP V.1A2)</w:t>
      </w:r>
    </w:p>
    <w:p w14:paraId="33699DE6" w14:textId="77777777" w:rsidR="005A6581" w:rsidRPr="004E4B93" w:rsidRDefault="005A6581">
      <w:pPr>
        <w:ind w:left="1560" w:hanging="1560"/>
        <w:jc w:val="both"/>
        <w:rPr>
          <w:b/>
          <w:color w:val="111111"/>
          <w:sz w:val="20"/>
          <w:szCs w:val="20"/>
        </w:rPr>
      </w:pPr>
    </w:p>
    <w:p w14:paraId="75DB4A82" w14:textId="77777777" w:rsidR="005A6581" w:rsidRPr="004E4B93" w:rsidRDefault="0064432F">
      <w:pPr>
        <w:ind w:left="1560" w:hanging="1560"/>
        <w:jc w:val="both"/>
        <w:rPr>
          <w:b/>
          <w:color w:val="111111"/>
          <w:sz w:val="20"/>
          <w:szCs w:val="20"/>
        </w:rPr>
      </w:pPr>
      <w:proofErr w:type="spellStart"/>
      <w:r w:rsidRPr="004E4B93">
        <w:rPr>
          <w:b/>
          <w:color w:val="111111"/>
          <w:sz w:val="20"/>
          <w:szCs w:val="20"/>
        </w:rPr>
        <w:t>CRediT</w:t>
      </w:r>
      <w:proofErr w:type="spellEnd"/>
      <w:r w:rsidRPr="004E4B93">
        <w:rPr>
          <w:b/>
          <w:color w:val="111111"/>
          <w:sz w:val="20"/>
          <w:szCs w:val="20"/>
        </w:rPr>
        <w:t xml:space="preserve"> authorship contribution statement</w:t>
      </w:r>
    </w:p>
    <w:p w14:paraId="78C641C7" w14:textId="77777777" w:rsidR="005A6581" w:rsidRPr="00627D4A" w:rsidRDefault="0064432F">
      <w:pPr>
        <w:ind w:left="1560" w:hanging="1560"/>
        <w:jc w:val="both"/>
        <w:rPr>
          <w:bCs/>
          <w:color w:val="111111"/>
          <w:sz w:val="20"/>
          <w:szCs w:val="20"/>
        </w:rPr>
      </w:pPr>
      <w:r w:rsidRPr="00627D4A">
        <w:rPr>
          <w:bCs/>
          <w:color w:val="111111"/>
          <w:sz w:val="20"/>
          <w:szCs w:val="20"/>
        </w:rPr>
        <w:t>Paula Bianchi: Study design; Statistical analysis; Writing – original draft.</w:t>
      </w:r>
    </w:p>
    <w:p w14:paraId="68D66680" w14:textId="77777777" w:rsidR="005A6581" w:rsidRPr="00627D4A" w:rsidRDefault="0064432F">
      <w:pPr>
        <w:ind w:left="1560" w:hanging="1560"/>
        <w:jc w:val="both"/>
        <w:rPr>
          <w:bCs/>
          <w:color w:val="111111"/>
          <w:sz w:val="20"/>
          <w:szCs w:val="20"/>
        </w:rPr>
      </w:pPr>
      <w:r w:rsidRPr="00627D4A">
        <w:rPr>
          <w:bCs/>
          <w:color w:val="111111"/>
          <w:sz w:val="20"/>
          <w:szCs w:val="20"/>
        </w:rPr>
        <w:t>Irene Moya-Mata: Writing – original draft; Visualization.</w:t>
      </w:r>
    </w:p>
    <w:p w14:paraId="04273C68" w14:textId="77777777" w:rsidR="005A6581" w:rsidRPr="00627D4A" w:rsidRDefault="0064432F">
      <w:pPr>
        <w:ind w:left="1560" w:hanging="1560"/>
        <w:jc w:val="both"/>
        <w:rPr>
          <w:bCs/>
          <w:color w:val="111111"/>
          <w:sz w:val="20"/>
          <w:szCs w:val="20"/>
        </w:rPr>
      </w:pPr>
      <w:r w:rsidRPr="00627D4A">
        <w:rPr>
          <w:bCs/>
          <w:color w:val="111111"/>
          <w:sz w:val="20"/>
          <w:szCs w:val="20"/>
        </w:rPr>
        <w:t>Helena Altmann: Validation; Visualization.</w:t>
      </w:r>
    </w:p>
    <w:p w14:paraId="70451794" w14:textId="77777777" w:rsidR="005A6581" w:rsidRDefault="0064432F" w:rsidP="00627D4A">
      <w:pPr>
        <w:jc w:val="both"/>
        <w:rPr>
          <w:bCs/>
          <w:color w:val="111111"/>
          <w:sz w:val="20"/>
          <w:szCs w:val="20"/>
        </w:rPr>
      </w:pPr>
      <w:r w:rsidRPr="00627D4A">
        <w:rPr>
          <w:bCs/>
          <w:color w:val="111111"/>
          <w:sz w:val="20"/>
          <w:szCs w:val="20"/>
        </w:rPr>
        <w:t>Ruth Cabeza-Ruiz: Conceptualization; Funding acquisition; Study design; Writing – review &amp; editing; Supervision.</w:t>
      </w:r>
    </w:p>
    <w:p w14:paraId="3D2AD980" w14:textId="77777777" w:rsidR="002958B2" w:rsidRDefault="002958B2" w:rsidP="00627D4A">
      <w:pPr>
        <w:jc w:val="both"/>
        <w:rPr>
          <w:bCs/>
          <w:color w:val="111111"/>
          <w:sz w:val="20"/>
          <w:szCs w:val="20"/>
        </w:rPr>
      </w:pPr>
    </w:p>
    <w:p w14:paraId="27824ABE" w14:textId="182337A5" w:rsidR="002958B2" w:rsidRPr="002958B2" w:rsidRDefault="002958B2" w:rsidP="002958B2">
      <w:pPr>
        <w:jc w:val="right"/>
        <w:rPr>
          <w:bCs/>
          <w:color w:val="111111"/>
          <w:sz w:val="20"/>
          <w:szCs w:val="20"/>
          <w:lang w:val="pt-BR"/>
        </w:rPr>
      </w:pPr>
      <w:r w:rsidRPr="009B602F">
        <w:rPr>
          <w:b/>
          <w:color w:val="111111"/>
          <w:sz w:val="20"/>
          <w:szCs w:val="20"/>
          <w:lang w:val="pt-BR"/>
        </w:rPr>
        <w:t>Editor</w:t>
      </w:r>
      <w:r w:rsidRPr="002958B2">
        <w:rPr>
          <w:bCs/>
          <w:color w:val="111111"/>
          <w:sz w:val="20"/>
          <w:szCs w:val="20"/>
          <w:lang w:val="pt-BR"/>
        </w:rPr>
        <w:t xml:space="preserve">: Eliane Regina </w:t>
      </w:r>
      <w:proofErr w:type="spellStart"/>
      <w:r w:rsidRPr="002958B2">
        <w:rPr>
          <w:bCs/>
          <w:color w:val="111111"/>
          <w:sz w:val="20"/>
          <w:szCs w:val="20"/>
          <w:lang w:val="pt-BR"/>
        </w:rPr>
        <w:t>Crestani</w:t>
      </w:r>
      <w:proofErr w:type="spellEnd"/>
      <w:r w:rsidRPr="002958B2">
        <w:rPr>
          <w:bCs/>
          <w:color w:val="111111"/>
          <w:sz w:val="20"/>
          <w:szCs w:val="20"/>
          <w:lang w:val="pt-BR"/>
        </w:rPr>
        <w:t xml:space="preserve"> </w:t>
      </w:r>
      <w:proofErr w:type="spellStart"/>
      <w:r w:rsidRPr="002958B2">
        <w:rPr>
          <w:bCs/>
          <w:color w:val="111111"/>
          <w:sz w:val="20"/>
          <w:szCs w:val="20"/>
          <w:lang w:val="pt-BR"/>
        </w:rPr>
        <w:t>Tortola</w:t>
      </w:r>
      <w:proofErr w:type="spellEnd"/>
      <w:r w:rsidRPr="002958B2">
        <w:rPr>
          <w:bCs/>
          <w:color w:val="111111"/>
          <w:sz w:val="20"/>
          <w:szCs w:val="20"/>
          <w:lang w:val="pt-BR"/>
        </w:rPr>
        <w:t>.</w:t>
      </w:r>
    </w:p>
    <w:p w14:paraId="11F4C538" w14:textId="77777777" w:rsidR="00D217E5" w:rsidRDefault="002958B2" w:rsidP="002958B2">
      <w:pPr>
        <w:jc w:val="right"/>
        <w:rPr>
          <w:bCs/>
          <w:color w:val="111111"/>
          <w:sz w:val="20"/>
          <w:szCs w:val="20"/>
        </w:rPr>
      </w:pPr>
      <w:r w:rsidRPr="002958B2">
        <w:rPr>
          <w:bCs/>
          <w:color w:val="111111"/>
          <w:sz w:val="20"/>
          <w:szCs w:val="20"/>
        </w:rPr>
        <w:t>Received on August 9, 2025.</w:t>
      </w:r>
    </w:p>
    <w:p w14:paraId="5B94C0D5" w14:textId="77777777" w:rsidR="00D217E5" w:rsidRDefault="002958B2" w:rsidP="002958B2">
      <w:pPr>
        <w:jc w:val="right"/>
        <w:rPr>
          <w:bCs/>
          <w:color w:val="111111"/>
          <w:sz w:val="20"/>
          <w:szCs w:val="20"/>
        </w:rPr>
      </w:pPr>
      <w:r w:rsidRPr="002958B2">
        <w:rPr>
          <w:bCs/>
          <w:color w:val="111111"/>
          <w:sz w:val="20"/>
          <w:szCs w:val="20"/>
        </w:rPr>
        <w:t>Revised on October 21, 2025.</w:t>
      </w:r>
    </w:p>
    <w:p w14:paraId="012D9EB5" w14:textId="763EA033" w:rsidR="002958B2" w:rsidRDefault="002958B2" w:rsidP="00D217E5">
      <w:pPr>
        <w:pBdr>
          <w:bottom w:val="single" w:sz="4" w:space="1" w:color="auto"/>
        </w:pBdr>
        <w:jc w:val="right"/>
        <w:rPr>
          <w:bCs/>
          <w:color w:val="111111"/>
          <w:sz w:val="20"/>
          <w:szCs w:val="20"/>
        </w:rPr>
      </w:pPr>
      <w:r w:rsidRPr="002958B2">
        <w:rPr>
          <w:bCs/>
          <w:color w:val="111111"/>
          <w:sz w:val="20"/>
          <w:szCs w:val="20"/>
        </w:rPr>
        <w:t>Accepted on October 23, 2025.</w:t>
      </w:r>
    </w:p>
    <w:p w14:paraId="3C50CA30" w14:textId="0E61DFEF" w:rsidR="00D217E5" w:rsidRPr="00D217E5" w:rsidRDefault="00D217E5" w:rsidP="00D217E5">
      <w:pPr>
        <w:pBdr>
          <w:top w:val="nil"/>
          <w:left w:val="nil"/>
          <w:bottom w:val="nil"/>
          <w:right w:val="nil"/>
          <w:between w:val="nil"/>
        </w:pBdr>
        <w:spacing w:before="36" w:after="36"/>
        <w:jc w:val="both"/>
        <w:rPr>
          <w:bCs/>
          <w:color w:val="111111"/>
          <w:sz w:val="20"/>
          <w:szCs w:val="20"/>
          <w:lang w:val="en-US"/>
        </w:rPr>
      </w:pPr>
      <w:r w:rsidRPr="00D217E5">
        <w:rPr>
          <w:b/>
          <w:color w:val="111111"/>
          <w:sz w:val="20"/>
          <w:szCs w:val="20"/>
        </w:rPr>
        <w:t>Corresponding author:</w:t>
      </w:r>
      <w:r w:rsidRPr="00D217E5">
        <w:rPr>
          <w:bCs/>
          <w:color w:val="111111"/>
          <w:sz w:val="20"/>
          <w:szCs w:val="20"/>
        </w:rPr>
        <w:t xml:space="preserve"> </w:t>
      </w:r>
      <w:r w:rsidRPr="00D217E5">
        <w:rPr>
          <w:sz w:val="20"/>
          <w:szCs w:val="20"/>
          <w:lang w:val="pt-BR"/>
        </w:rPr>
        <w:t>Irene Moya-Mata.</w:t>
      </w:r>
      <w:r w:rsidRPr="00D217E5">
        <w:rPr>
          <w:color w:val="000000"/>
          <w:sz w:val="20"/>
          <w:szCs w:val="20"/>
          <w:lang w:val="pt-BR"/>
        </w:rPr>
        <w:t xml:space="preserve"> E-mail: </w:t>
      </w:r>
      <w:r w:rsidRPr="00D217E5">
        <w:rPr>
          <w:sz w:val="20"/>
          <w:szCs w:val="20"/>
          <w:lang w:val="pt-BR"/>
        </w:rPr>
        <w:t>irene.moya@uv.es</w:t>
      </w:r>
    </w:p>
    <w:sectPr w:rsidR="00D217E5" w:rsidRPr="00D217E5">
      <w:headerReference w:type="even" r:id="rId53"/>
      <w:headerReference w:type="default" r:id="rId54"/>
      <w:footerReference w:type="even" r:id="rId55"/>
      <w:headerReference w:type="first" r:id="rId56"/>
      <w:footerReference w:type="first" r:id="rId57"/>
      <w:pgSz w:w="11907" w:h="16840"/>
      <w:pgMar w:top="1928" w:right="1418" w:bottom="964" w:left="1418" w:header="1503"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BAE4F" w14:textId="77777777" w:rsidR="008E5662" w:rsidRDefault="008E5662">
      <w:r>
        <w:separator/>
      </w:r>
    </w:p>
  </w:endnote>
  <w:endnote w:type="continuationSeparator" w:id="0">
    <w:p w14:paraId="6FAB3950" w14:textId="77777777" w:rsidR="008E5662" w:rsidRDefault="008E5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man P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7E923F8-3497-431F-8EE3-0371086AC8E9}"/>
  </w:font>
  <w:font w:name="Times">
    <w:panose1 w:val="02020603050405020304"/>
    <w:charset w:val="00"/>
    <w:family w:val="roman"/>
    <w:pitch w:val="variable"/>
    <w:sig w:usb0="E0002EFF" w:usb1="C000785B" w:usb2="00000009" w:usb3="00000000" w:csb0="000001FF" w:csb1="00000000"/>
    <w:embedRegular r:id="rId2" w:fontKey="{05B69004-DDBC-448D-B6D5-6A97A4FBED1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70329F5-39F5-4050-A405-B98789500AD5}"/>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103847E9-2AD4-45FE-8810-838C05E9182C}"/>
  </w:font>
  <w:font w:name="Georgia">
    <w:panose1 w:val="02040502050405020303"/>
    <w:charset w:val="00"/>
    <w:family w:val="roman"/>
    <w:pitch w:val="variable"/>
    <w:sig w:usb0="00000287" w:usb1="00000000" w:usb2="00000000" w:usb3="00000000" w:csb0="0000009F" w:csb1="00000000"/>
    <w:embedRegular r:id="rId5" w:fontKey="{6C067419-14AA-469C-A473-92E5971B05E1}"/>
    <w:embedItalic r:id="rId6" w:fontKey="{7B9EA843-97B1-4733-91C5-D4FFAFECA821}"/>
  </w:font>
  <w:font w:name="Roboto">
    <w:charset w:val="00"/>
    <w:family w:val="auto"/>
    <w:pitch w:val="variable"/>
    <w:sig w:usb0="E0000AFF" w:usb1="5000217F" w:usb2="00000021" w:usb3="00000000" w:csb0="0000019F" w:csb1="00000000"/>
    <w:embedRegular r:id="rId7" w:fontKey="{9E7859EF-FDA8-4636-BDBF-CBAE296AE8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7D164" w14:textId="368B0FCA" w:rsidR="00627D4A" w:rsidRPr="00F375F0" w:rsidRDefault="00627D4A" w:rsidP="00627D4A">
    <w:pPr>
      <w:pBdr>
        <w:top w:val="single" w:sz="4" w:space="1" w:color="000000"/>
      </w:pBdr>
      <w:tabs>
        <w:tab w:val="right" w:pos="9072"/>
      </w:tabs>
      <w:spacing w:before="40" w:after="20"/>
      <w:rPr>
        <w:sz w:val="16"/>
        <w:szCs w:val="16"/>
        <w:lang w:val="pt-BR"/>
      </w:rPr>
    </w:pPr>
    <w:r w:rsidRPr="00F375F0">
      <w:rPr>
        <w:sz w:val="16"/>
        <w:szCs w:val="16"/>
        <w:lang w:val="pt-BR"/>
      </w:rPr>
      <w:tab/>
      <w:t xml:space="preserve">J. </w:t>
    </w:r>
    <w:proofErr w:type="spellStart"/>
    <w:r w:rsidRPr="00F375F0">
      <w:rPr>
        <w:sz w:val="16"/>
        <w:szCs w:val="16"/>
        <w:lang w:val="pt-BR"/>
      </w:rPr>
      <w:t>Phys</w:t>
    </w:r>
    <w:proofErr w:type="spellEnd"/>
    <w:r w:rsidRPr="00F375F0">
      <w:rPr>
        <w:sz w:val="16"/>
        <w:szCs w:val="16"/>
        <w:lang w:val="pt-BR"/>
      </w:rPr>
      <w:t>. Educ. v. 37, e3713, 2026.</w:t>
    </w:r>
  </w:p>
  <w:p w14:paraId="76CBEE58" w14:textId="77777777" w:rsidR="00627D4A" w:rsidRDefault="00627D4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CB85" w14:textId="77777777" w:rsidR="00627D4A" w:rsidRPr="00F375F0" w:rsidRDefault="00627D4A" w:rsidP="00627D4A">
    <w:pPr>
      <w:pBdr>
        <w:top w:val="single" w:sz="4" w:space="1" w:color="000000"/>
      </w:pBdr>
      <w:tabs>
        <w:tab w:val="right" w:pos="9072"/>
      </w:tabs>
      <w:spacing w:before="40" w:after="20"/>
      <w:rPr>
        <w:sz w:val="16"/>
        <w:szCs w:val="16"/>
        <w:lang w:val="pt-BR"/>
      </w:rPr>
    </w:pPr>
    <w:r>
      <w:rPr>
        <w:noProof/>
        <w:lang w:val="es-ES"/>
      </w:rPr>
      <w:drawing>
        <wp:inline distT="0" distB="0" distL="0" distR="0" wp14:anchorId="18068882" wp14:editId="4DAF98E0">
          <wp:extent cx="660103" cy="173649"/>
          <wp:effectExtent l="0" t="0" r="0" b="0"/>
          <wp:docPr id="4586858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60103" cy="173649"/>
                  </a:xfrm>
                  <a:prstGeom prst="rect">
                    <a:avLst/>
                  </a:prstGeom>
                  <a:ln/>
                </pic:spPr>
              </pic:pic>
            </a:graphicData>
          </a:graphic>
        </wp:inline>
      </w:drawing>
    </w:r>
    <w:r w:rsidRPr="00F375F0">
      <w:rPr>
        <w:sz w:val="16"/>
        <w:szCs w:val="16"/>
        <w:lang w:val="pt-BR"/>
      </w:rPr>
      <w:tab/>
      <w:t xml:space="preserve">J. </w:t>
    </w:r>
    <w:proofErr w:type="spellStart"/>
    <w:r w:rsidRPr="00F375F0">
      <w:rPr>
        <w:sz w:val="16"/>
        <w:szCs w:val="16"/>
        <w:lang w:val="pt-BR"/>
      </w:rPr>
      <w:t>Phys</w:t>
    </w:r>
    <w:proofErr w:type="spellEnd"/>
    <w:r w:rsidRPr="00F375F0">
      <w:rPr>
        <w:sz w:val="16"/>
        <w:szCs w:val="16"/>
        <w:lang w:val="pt-BR"/>
      </w:rPr>
      <w:t>. Educ. v. 37, e3713, 2026.</w:t>
    </w:r>
  </w:p>
  <w:p w14:paraId="390126E3" w14:textId="77777777" w:rsidR="00627D4A" w:rsidRDefault="00627D4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C99BD" w14:textId="77777777" w:rsidR="008E5662" w:rsidRDefault="008E5662">
      <w:r>
        <w:separator/>
      </w:r>
    </w:p>
  </w:footnote>
  <w:footnote w:type="continuationSeparator" w:id="0">
    <w:p w14:paraId="6B77A903" w14:textId="77777777" w:rsidR="008E5662" w:rsidRDefault="008E5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4EA10" w14:textId="1958BD6E" w:rsidR="005A6581" w:rsidRDefault="0064432F">
    <w:pPr>
      <w:pBdr>
        <w:top w:val="nil"/>
        <w:left w:val="nil"/>
        <w:bottom w:val="nil"/>
        <w:right w:val="nil"/>
        <w:between w:val="nil"/>
      </w:pBdr>
      <w:tabs>
        <w:tab w:val="center" w:pos="4419"/>
        <w:tab w:val="right" w:pos="8838"/>
      </w:tabs>
      <w:rPr>
        <w:b/>
        <w:color w:val="000000"/>
        <w:sz w:val="16"/>
        <w:szCs w:val="16"/>
      </w:rPr>
    </w:pPr>
    <w:r>
      <w:rPr>
        <w:b/>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C97AF5">
      <w:rPr>
        <w:b/>
        <w:noProof/>
        <w:color w:val="000000"/>
        <w:sz w:val="16"/>
        <w:szCs w:val="16"/>
      </w:rPr>
      <w:t>10</w:t>
    </w:r>
    <w:r>
      <w:rPr>
        <w:b/>
        <w:color w:val="000000"/>
        <w:sz w:val="16"/>
        <w:szCs w:val="16"/>
      </w:rPr>
      <w:fldChar w:fldCharType="end"/>
    </w:r>
    <w:r>
      <w:rPr>
        <w:b/>
        <w:color w:val="000000"/>
        <w:sz w:val="16"/>
        <w:szCs w:val="16"/>
      </w:rPr>
      <w:t xml:space="preserve"> of 1</w:t>
    </w:r>
    <w:r w:rsidR="00627D4A">
      <w:rPr>
        <w:b/>
        <w:color w:val="000000"/>
        <w:sz w:val="16"/>
        <w:szCs w:val="16"/>
      </w:rPr>
      <w:t xml:space="preserve">4 </w:t>
    </w:r>
    <w:r w:rsidR="00627D4A">
      <w:rPr>
        <w:b/>
        <w:color w:val="000000"/>
        <w:sz w:val="16"/>
        <w:szCs w:val="16"/>
      </w:rPr>
      <w:tab/>
    </w:r>
    <w:r w:rsidR="00627D4A">
      <w:rPr>
        <w:b/>
        <w:color w:val="000000"/>
        <w:sz w:val="16"/>
        <w:szCs w:val="16"/>
      </w:rPr>
      <w:tab/>
      <w:t>Bianchi et al.</w:t>
    </w:r>
  </w:p>
  <w:p w14:paraId="184453A3" w14:textId="77777777" w:rsidR="005A6581" w:rsidRDefault="005A6581">
    <w:pPr>
      <w:pBdr>
        <w:top w:val="nil"/>
        <w:left w:val="nil"/>
        <w:bottom w:val="nil"/>
        <w:right w:val="nil"/>
        <w:between w:val="nil"/>
      </w:pBdr>
      <w:tabs>
        <w:tab w:val="center" w:pos="4419"/>
        <w:tab w:val="right" w:pos="8838"/>
      </w:tabs>
      <w:rPr>
        <w:rFonts w:ascii="Roman PS" w:eastAsia="Roman PS" w:hAnsi="Roman PS" w:cs="Roman P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0A9C0" w14:textId="52866658" w:rsidR="005A6581" w:rsidRDefault="00627D4A">
    <w:pPr>
      <w:pBdr>
        <w:top w:val="nil"/>
        <w:left w:val="nil"/>
        <w:bottom w:val="nil"/>
        <w:right w:val="nil"/>
        <w:between w:val="nil"/>
      </w:pBdr>
      <w:tabs>
        <w:tab w:val="center" w:pos="4419"/>
        <w:tab w:val="right" w:pos="8838"/>
      </w:tabs>
      <w:rPr>
        <w:b/>
        <w:color w:val="000000"/>
        <w:sz w:val="16"/>
        <w:szCs w:val="16"/>
      </w:rPr>
    </w:pPr>
    <w:r w:rsidRPr="005B61F8">
      <w:rPr>
        <w:b/>
        <w:i/>
        <w:iCs/>
        <w:color w:val="000000"/>
        <w:sz w:val="16"/>
        <w:szCs w:val="16"/>
      </w:rPr>
      <w:t xml:space="preserve">Media </w:t>
    </w:r>
    <w:proofErr w:type="spellStart"/>
    <w:r w:rsidRPr="005B61F8">
      <w:rPr>
        <w:b/>
        <w:i/>
        <w:iCs/>
        <w:color w:val="000000"/>
        <w:sz w:val="16"/>
        <w:szCs w:val="16"/>
      </w:rPr>
      <w:t>misonygy</w:t>
    </w:r>
    <w:proofErr w:type="spellEnd"/>
    <w:r w:rsidRPr="005B61F8">
      <w:rPr>
        <w:b/>
        <w:i/>
        <w:iCs/>
        <w:color w:val="000000"/>
        <w:sz w:val="16"/>
        <w:szCs w:val="16"/>
      </w:rPr>
      <w:t xml:space="preserve"> and education</w:t>
    </w:r>
    <w:r>
      <w:rPr>
        <w:b/>
        <w:color w:val="000000"/>
        <w:sz w:val="16"/>
        <w:szCs w:val="16"/>
      </w:rPr>
      <w:tab/>
    </w:r>
    <w:r>
      <w:rPr>
        <w:b/>
        <w:color w:val="000000"/>
        <w:sz w:val="16"/>
        <w:szCs w:val="16"/>
      </w:rPr>
      <w:tab/>
    </w:r>
    <w:r w:rsidR="0064432F">
      <w:rPr>
        <w:b/>
        <w:color w:val="000000"/>
        <w:sz w:val="16"/>
        <w:szCs w:val="16"/>
      </w:rPr>
      <w:t xml:space="preserve">Page </w:t>
    </w:r>
    <w:r w:rsidR="0064432F">
      <w:rPr>
        <w:b/>
        <w:color w:val="000000"/>
        <w:sz w:val="16"/>
        <w:szCs w:val="16"/>
      </w:rPr>
      <w:fldChar w:fldCharType="begin"/>
    </w:r>
    <w:r w:rsidR="0064432F">
      <w:rPr>
        <w:b/>
        <w:color w:val="000000"/>
        <w:sz w:val="16"/>
        <w:szCs w:val="16"/>
      </w:rPr>
      <w:instrText>PAGE</w:instrText>
    </w:r>
    <w:r w:rsidR="0064432F">
      <w:rPr>
        <w:b/>
        <w:color w:val="000000"/>
        <w:sz w:val="16"/>
        <w:szCs w:val="16"/>
      </w:rPr>
      <w:fldChar w:fldCharType="separate"/>
    </w:r>
    <w:r w:rsidR="00C97AF5">
      <w:rPr>
        <w:b/>
        <w:noProof/>
        <w:color w:val="000000"/>
        <w:sz w:val="16"/>
        <w:szCs w:val="16"/>
      </w:rPr>
      <w:t>11</w:t>
    </w:r>
    <w:r w:rsidR="0064432F">
      <w:rPr>
        <w:b/>
        <w:color w:val="000000"/>
        <w:sz w:val="16"/>
        <w:szCs w:val="16"/>
      </w:rPr>
      <w:fldChar w:fldCharType="end"/>
    </w:r>
    <w:r w:rsidR="0064432F">
      <w:rPr>
        <w:b/>
        <w:color w:val="000000"/>
        <w:sz w:val="16"/>
        <w:szCs w:val="16"/>
      </w:rPr>
      <w:t xml:space="preserve"> of 1</w:t>
    </w:r>
    <w:r>
      <w:rPr>
        <w:b/>
        <w:color w:val="000000"/>
        <w:sz w:val="16"/>
        <w:szCs w:val="16"/>
      </w:rPr>
      <w:t>4</w:t>
    </w:r>
    <w:r w:rsidR="0064432F">
      <w:rPr>
        <w:b/>
        <w:color w:val="000000"/>
        <w:sz w:val="16"/>
        <w:szCs w:val="16"/>
      </w:rPr>
      <w:t xml:space="preserve"> </w:t>
    </w:r>
  </w:p>
  <w:p w14:paraId="2AFD2C87" w14:textId="77777777" w:rsidR="005A6581" w:rsidRDefault="005A6581">
    <w:pPr>
      <w:pBdr>
        <w:top w:val="nil"/>
        <w:left w:val="nil"/>
        <w:bottom w:val="nil"/>
        <w:right w:val="nil"/>
        <w:between w:val="nil"/>
      </w:pBdr>
      <w:tabs>
        <w:tab w:val="center" w:pos="4419"/>
        <w:tab w:val="right" w:pos="8838"/>
      </w:tabs>
      <w:rPr>
        <w:rFonts w:ascii="Roman PS" w:eastAsia="Roman PS" w:hAnsi="Roman PS" w:cs="Roman P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2EE50" w14:textId="77777777" w:rsidR="00627D4A" w:rsidRDefault="00627D4A" w:rsidP="00627D4A">
    <w:pPr>
      <w:pBdr>
        <w:top w:val="nil"/>
        <w:left w:val="nil"/>
        <w:bottom w:val="nil"/>
        <w:right w:val="nil"/>
        <w:between w:val="nil"/>
      </w:pBdr>
      <w:tabs>
        <w:tab w:val="center" w:pos="4419"/>
        <w:tab w:val="right" w:pos="8838"/>
      </w:tabs>
      <w:rPr>
        <w:rFonts w:ascii="Roman PS" w:eastAsia="Roman PS" w:hAnsi="Roman PS" w:cs="Roman PS"/>
        <w:color w:val="000000"/>
      </w:rPr>
    </w:pPr>
    <w:r>
      <w:rPr>
        <w:rFonts w:ascii="Arial" w:eastAsia="Arial" w:hAnsi="Arial" w:cs="Arial"/>
        <w:b/>
        <w:color w:val="000000"/>
        <w:sz w:val="20"/>
        <w:szCs w:val="20"/>
      </w:rPr>
      <w:t>DOI: 10.4025/</w:t>
    </w:r>
    <w:proofErr w:type="gramStart"/>
    <w:r>
      <w:rPr>
        <w:rFonts w:ascii="Arial" w:eastAsia="Arial" w:hAnsi="Arial" w:cs="Arial"/>
        <w:b/>
        <w:color w:val="000000"/>
        <w:sz w:val="20"/>
        <w:szCs w:val="20"/>
      </w:rPr>
      <w:t>jphyseduc.v</w:t>
    </w:r>
    <w:proofErr w:type="gramEnd"/>
    <w:r>
      <w:rPr>
        <w:rFonts w:ascii="Arial" w:eastAsia="Arial" w:hAnsi="Arial" w:cs="Arial"/>
        <w:b/>
        <w:color w:val="000000"/>
        <w:sz w:val="20"/>
        <w:szCs w:val="20"/>
      </w:rPr>
      <w:t>37i1.3713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8702FD"/>
    <w:multiLevelType w:val="multilevel"/>
    <w:tmpl w:val="9A4CFA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12935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581"/>
    <w:rsid w:val="00031612"/>
    <w:rsid w:val="00096447"/>
    <w:rsid w:val="000E09A9"/>
    <w:rsid w:val="000F696D"/>
    <w:rsid w:val="00140A74"/>
    <w:rsid w:val="001929BA"/>
    <w:rsid w:val="002958B2"/>
    <w:rsid w:val="002E6808"/>
    <w:rsid w:val="0035037A"/>
    <w:rsid w:val="00392F2F"/>
    <w:rsid w:val="003E2600"/>
    <w:rsid w:val="004351F2"/>
    <w:rsid w:val="004970E8"/>
    <w:rsid w:val="004B18D6"/>
    <w:rsid w:val="004D0236"/>
    <w:rsid w:val="004D05CE"/>
    <w:rsid w:val="004E4B93"/>
    <w:rsid w:val="0051243A"/>
    <w:rsid w:val="005148C7"/>
    <w:rsid w:val="00534F73"/>
    <w:rsid w:val="005A26FA"/>
    <w:rsid w:val="005A6581"/>
    <w:rsid w:val="005B61F8"/>
    <w:rsid w:val="005C6103"/>
    <w:rsid w:val="005E7DF4"/>
    <w:rsid w:val="00616A1E"/>
    <w:rsid w:val="0062107A"/>
    <w:rsid w:val="00627D4A"/>
    <w:rsid w:val="0064432F"/>
    <w:rsid w:val="0068799D"/>
    <w:rsid w:val="006909AA"/>
    <w:rsid w:val="006A1C32"/>
    <w:rsid w:val="006E02EC"/>
    <w:rsid w:val="00733E15"/>
    <w:rsid w:val="00734F95"/>
    <w:rsid w:val="00754C15"/>
    <w:rsid w:val="00771D7B"/>
    <w:rsid w:val="007973A9"/>
    <w:rsid w:val="007E145A"/>
    <w:rsid w:val="007F2368"/>
    <w:rsid w:val="0087733F"/>
    <w:rsid w:val="008A0C34"/>
    <w:rsid w:val="008A33B0"/>
    <w:rsid w:val="008C533D"/>
    <w:rsid w:val="008E5662"/>
    <w:rsid w:val="00901E5A"/>
    <w:rsid w:val="00924212"/>
    <w:rsid w:val="00971253"/>
    <w:rsid w:val="00992B1D"/>
    <w:rsid w:val="009A6AD8"/>
    <w:rsid w:val="009B602F"/>
    <w:rsid w:val="009E647A"/>
    <w:rsid w:val="00A252E1"/>
    <w:rsid w:val="00A42632"/>
    <w:rsid w:val="00A5330A"/>
    <w:rsid w:val="00A71448"/>
    <w:rsid w:val="00A95178"/>
    <w:rsid w:val="00AC2CD6"/>
    <w:rsid w:val="00AE0990"/>
    <w:rsid w:val="00B072C1"/>
    <w:rsid w:val="00B30377"/>
    <w:rsid w:val="00B318D4"/>
    <w:rsid w:val="00B840CD"/>
    <w:rsid w:val="00BD5829"/>
    <w:rsid w:val="00C14360"/>
    <w:rsid w:val="00C240BA"/>
    <w:rsid w:val="00C3379F"/>
    <w:rsid w:val="00C97AF5"/>
    <w:rsid w:val="00D100DB"/>
    <w:rsid w:val="00D217E5"/>
    <w:rsid w:val="00D76A43"/>
    <w:rsid w:val="00DB0556"/>
    <w:rsid w:val="00DC06C9"/>
    <w:rsid w:val="00DE5E4A"/>
    <w:rsid w:val="00E6084C"/>
    <w:rsid w:val="00E615C3"/>
    <w:rsid w:val="00E76C5F"/>
    <w:rsid w:val="00E87AFF"/>
    <w:rsid w:val="00EB108F"/>
    <w:rsid w:val="00EB3962"/>
    <w:rsid w:val="00EE431D"/>
    <w:rsid w:val="00EE7CBA"/>
    <w:rsid w:val="00F26A98"/>
    <w:rsid w:val="00F44C3E"/>
    <w:rsid w:val="00FA73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8F72F"/>
  <w15:docId w15:val="{28970606-32DF-4C80-B92B-5C52D86C1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b/>
    </w:rPr>
  </w:style>
  <w:style w:type="paragraph" w:styleId="Ttulo2">
    <w:name w:val="heading 2"/>
    <w:basedOn w:val="Normal"/>
    <w:next w:val="Normal"/>
    <w:uiPriority w:val="9"/>
    <w:semiHidden/>
    <w:unhideWhenUsed/>
    <w:qFormat/>
    <w:pPr>
      <w:keepNext/>
      <w:jc w:val="both"/>
      <w:outlineLvl w:val="1"/>
    </w:pPr>
    <w:rPr>
      <w:b/>
    </w:rPr>
  </w:style>
  <w:style w:type="paragraph" w:styleId="Ttulo3">
    <w:name w:val="heading 3"/>
    <w:basedOn w:val="Normal"/>
    <w:next w:val="Normal"/>
    <w:uiPriority w:val="9"/>
    <w:semiHidden/>
    <w:unhideWhenUsed/>
    <w:qFormat/>
    <w:pPr>
      <w:keepNext/>
      <w:ind w:right="22"/>
      <w:jc w:val="center"/>
      <w:outlineLvl w:val="2"/>
    </w:pPr>
  </w:style>
  <w:style w:type="paragraph" w:styleId="Ttulo4">
    <w:name w:val="heading 4"/>
    <w:basedOn w:val="Normal"/>
    <w:next w:val="Normal"/>
    <w:uiPriority w:val="9"/>
    <w:semiHidden/>
    <w:unhideWhenUsed/>
    <w:qFormat/>
    <w:pPr>
      <w:keepNext/>
      <w:tabs>
        <w:tab w:val="left" w:pos="567"/>
        <w:tab w:val="left" w:pos="1134"/>
      </w:tabs>
      <w:spacing w:line="360" w:lineRule="auto"/>
      <w:jc w:val="both"/>
      <w:outlineLvl w:val="3"/>
    </w:pPr>
    <w:rPr>
      <w:b/>
      <w:sz w:val="20"/>
      <w:szCs w:val="20"/>
    </w:rPr>
  </w:style>
  <w:style w:type="paragraph" w:styleId="Ttulo5">
    <w:name w:val="heading 5"/>
    <w:basedOn w:val="Normal"/>
    <w:next w:val="Normal"/>
    <w:uiPriority w:val="9"/>
    <w:semiHidden/>
    <w:unhideWhenUsed/>
    <w:qFormat/>
    <w:pPr>
      <w:keepNext/>
      <w:spacing w:before="40"/>
      <w:jc w:val="center"/>
      <w:outlineLvl w:val="4"/>
    </w:pPr>
    <w:rPr>
      <w:b/>
      <w:sz w:val="16"/>
      <w:szCs w:val="16"/>
    </w:rPr>
  </w:style>
  <w:style w:type="paragraph" w:styleId="Ttulo6">
    <w:name w:val="heading 6"/>
    <w:basedOn w:val="Normal"/>
    <w:next w:val="Normal"/>
    <w:uiPriority w:val="9"/>
    <w:semiHidden/>
    <w:unhideWhenUsed/>
    <w:qFormat/>
    <w:pPr>
      <w:keepNext/>
      <w:spacing w:before="40" w:after="40"/>
      <w:ind w:left="57"/>
      <w:outlineLvl w:val="5"/>
    </w:pPr>
    <w:rPr>
      <w:b/>
      <w:sz w:val="18"/>
      <w:szCs w:val="18"/>
    </w:rPr>
  </w:style>
  <w:style w:type="paragraph" w:styleId="Ttulo7">
    <w:name w:val="heading 7"/>
    <w:basedOn w:val="Normal"/>
    <w:next w:val="Normal"/>
    <w:qFormat/>
    <w:pPr>
      <w:keepNext/>
      <w:spacing w:before="20" w:after="20"/>
      <w:ind w:left="28"/>
      <w:outlineLvl w:val="6"/>
    </w:pPr>
    <w:rPr>
      <w:b/>
      <w:spacing w:val="-4"/>
      <w:sz w:val="12"/>
    </w:rPr>
  </w:style>
  <w:style w:type="paragraph" w:styleId="Ttulo8">
    <w:name w:val="heading 8"/>
    <w:basedOn w:val="Normal"/>
    <w:next w:val="Normal"/>
    <w:qFormat/>
    <w:pPr>
      <w:keepNext/>
      <w:jc w:val="center"/>
      <w:outlineLvl w:val="7"/>
    </w:pPr>
    <w:rPr>
      <w:b/>
      <w:sz w:val="1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line="360" w:lineRule="auto"/>
      <w:jc w:val="center"/>
    </w:pPr>
    <w:rPr>
      <w:b/>
      <w:sz w:val="28"/>
      <w:szCs w:val="28"/>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defim">
    <w:name w:val="endnote reference"/>
    <w:semiHidden/>
    <w:rPr>
      <w:vertAlign w:val="superscript"/>
    </w:rPr>
  </w:style>
  <w:style w:type="character" w:styleId="Refdenotaderodap">
    <w:name w:val="footnote reference"/>
    <w:uiPriority w:val="99"/>
    <w:rPr>
      <w:vertAlign w:val="superscript"/>
    </w:rPr>
  </w:style>
  <w:style w:type="paragraph" w:styleId="Rodap">
    <w:name w:val="footer"/>
    <w:basedOn w:val="Normal"/>
    <w:link w:val="RodapChar"/>
    <w:uiPriority w:val="99"/>
    <w:pPr>
      <w:tabs>
        <w:tab w:val="center" w:pos="4419"/>
        <w:tab w:val="right" w:pos="8838"/>
      </w:tabs>
    </w:pPr>
    <w:rPr>
      <w:rFonts w:ascii="Roman PS" w:hAnsi="Roman PS"/>
    </w:rPr>
  </w:style>
  <w:style w:type="paragraph" w:styleId="Cabealho">
    <w:name w:val="header"/>
    <w:basedOn w:val="Normal"/>
    <w:link w:val="CabealhoChar"/>
    <w:uiPriority w:val="99"/>
    <w:pPr>
      <w:tabs>
        <w:tab w:val="center" w:pos="4419"/>
        <w:tab w:val="right" w:pos="8838"/>
      </w:tabs>
    </w:pPr>
    <w:rPr>
      <w:rFonts w:ascii="Roman PS" w:hAnsi="Roman PS"/>
    </w:rPr>
  </w:style>
  <w:style w:type="paragraph" w:styleId="Textodenotaderodap">
    <w:name w:val="footnote text"/>
    <w:basedOn w:val="Normal"/>
    <w:link w:val="TextodenotaderodapChar"/>
    <w:uiPriority w:val="99"/>
    <w:rPr>
      <w:sz w:val="20"/>
      <w:lang w:val="x-none" w:eastAsia="x-none"/>
    </w:rPr>
  </w:style>
  <w:style w:type="character" w:styleId="Nmerodepgina">
    <w:name w:val="page number"/>
    <w:basedOn w:val="Fontepargpadro"/>
  </w:style>
  <w:style w:type="paragraph" w:customStyle="1" w:styleId="ZTituloArtigo">
    <w:name w:val="Z_TituloArtigo"/>
    <w:basedOn w:val="Normal"/>
    <w:pPr>
      <w:spacing w:before="720" w:after="360"/>
      <w:jc w:val="center"/>
    </w:pPr>
    <w:rPr>
      <w:rFonts w:ascii="Arial" w:hAnsi="Arial"/>
      <w:b/>
      <w:caps/>
    </w:rPr>
  </w:style>
  <w:style w:type="paragraph" w:customStyle="1" w:styleId="zAutorArtigo">
    <w:name w:val="z_AutorArtigo"/>
    <w:basedOn w:val="Normal"/>
    <w:pPr>
      <w:spacing w:after="360"/>
      <w:jc w:val="right"/>
    </w:pPr>
    <w:rPr>
      <w:rFonts w:ascii="Arial" w:hAnsi="Arial"/>
      <w:sz w:val="20"/>
    </w:rPr>
  </w:style>
  <w:style w:type="paragraph" w:customStyle="1" w:styleId="zResumo">
    <w:name w:val="z_Resumo"/>
    <w:basedOn w:val="Normal"/>
    <w:pPr>
      <w:pBdr>
        <w:top w:val="single" w:sz="18" w:space="6" w:color="auto"/>
      </w:pBdr>
      <w:jc w:val="both"/>
    </w:pPr>
    <w:rPr>
      <w:sz w:val="18"/>
    </w:rPr>
  </w:style>
  <w:style w:type="paragraph" w:customStyle="1" w:styleId="zAbstract">
    <w:name w:val="z_Abstract"/>
    <w:basedOn w:val="zResumo"/>
    <w:pPr>
      <w:pBdr>
        <w:top w:val="none" w:sz="0" w:space="0" w:color="auto"/>
        <w:bottom w:val="single" w:sz="12" w:space="6" w:color="auto"/>
      </w:pBdr>
    </w:pPr>
  </w:style>
  <w:style w:type="paragraph" w:customStyle="1" w:styleId="ZPalavrachave">
    <w:name w:val="Z_Palavrachave"/>
    <w:basedOn w:val="Normal"/>
    <w:pPr>
      <w:spacing w:before="60"/>
      <w:ind w:left="1418" w:hanging="1418"/>
      <w:jc w:val="both"/>
    </w:pPr>
    <w:rPr>
      <w:sz w:val="18"/>
    </w:rPr>
  </w:style>
  <w:style w:type="paragraph" w:customStyle="1" w:styleId="ZKeywords">
    <w:name w:val="Z_Keywords"/>
    <w:basedOn w:val="Normal"/>
    <w:pPr>
      <w:pBdr>
        <w:bottom w:val="single" w:sz="18" w:space="6" w:color="auto"/>
      </w:pBdr>
      <w:spacing w:before="60" w:after="240"/>
      <w:ind w:left="851" w:hanging="851"/>
      <w:jc w:val="both"/>
    </w:pPr>
    <w:rPr>
      <w:sz w:val="18"/>
    </w:rPr>
  </w:style>
  <w:style w:type="paragraph" w:customStyle="1" w:styleId="ZParagrafo">
    <w:name w:val="Z_Paragrafo"/>
    <w:basedOn w:val="Normal"/>
    <w:link w:val="ZParagrafoChar"/>
    <w:pPr>
      <w:ind w:firstLine="369"/>
      <w:jc w:val="both"/>
    </w:pPr>
    <w:rPr>
      <w:rFonts w:ascii="Roman PS" w:hAnsi="Roman PS"/>
      <w:sz w:val="22"/>
    </w:rPr>
  </w:style>
  <w:style w:type="character" w:customStyle="1" w:styleId="ZParagrafoChar">
    <w:name w:val="Z_Paragrafo Char"/>
    <w:link w:val="ZParagrafo"/>
    <w:rsid w:val="0050096D"/>
    <w:rPr>
      <w:sz w:val="22"/>
      <w:lang w:val="pt-BR" w:eastAsia="pt-BR" w:bidi="ar-SA"/>
    </w:rPr>
  </w:style>
  <w:style w:type="paragraph" w:customStyle="1" w:styleId="ZRodape">
    <w:name w:val="Z_Rodape"/>
    <w:basedOn w:val="Normal"/>
    <w:pPr>
      <w:spacing w:after="60"/>
      <w:ind w:left="284" w:hanging="284"/>
      <w:jc w:val="both"/>
    </w:pPr>
    <w:rPr>
      <w:sz w:val="18"/>
    </w:rPr>
  </w:style>
  <w:style w:type="paragraph" w:customStyle="1" w:styleId="ZCitacao">
    <w:name w:val="Z_Citacao"/>
    <w:basedOn w:val="Normal"/>
    <w:link w:val="ZCitacaoChar"/>
    <w:pPr>
      <w:spacing w:before="240" w:after="240"/>
      <w:ind w:left="1134"/>
      <w:jc w:val="both"/>
    </w:pPr>
    <w:rPr>
      <w:rFonts w:ascii="Roman PS" w:hAnsi="Roman PS"/>
      <w:sz w:val="20"/>
    </w:rPr>
  </w:style>
  <w:style w:type="character" w:customStyle="1" w:styleId="ZCitacaoChar">
    <w:name w:val="Z_Citacao Char"/>
    <w:link w:val="ZCitacao"/>
    <w:rsid w:val="00B33DFF"/>
    <w:rPr>
      <w:lang w:val="pt-BR" w:eastAsia="pt-BR" w:bidi="ar-SA"/>
    </w:rPr>
  </w:style>
  <w:style w:type="paragraph" w:customStyle="1" w:styleId="ZTituloPrincipal">
    <w:name w:val="Z_TituloPrincipal"/>
    <w:basedOn w:val="Normal"/>
    <w:pPr>
      <w:spacing w:before="480" w:after="240"/>
      <w:jc w:val="center"/>
    </w:pPr>
    <w:rPr>
      <w:b/>
      <w:caps/>
      <w:sz w:val="20"/>
    </w:rPr>
  </w:style>
  <w:style w:type="paragraph" w:customStyle="1" w:styleId="zSubtitulo">
    <w:name w:val="z_Subtitulo"/>
    <w:basedOn w:val="Normal"/>
    <w:pPr>
      <w:spacing w:before="240" w:after="120"/>
      <w:jc w:val="both"/>
    </w:pPr>
    <w:rPr>
      <w:b/>
      <w:sz w:val="20"/>
    </w:rPr>
  </w:style>
  <w:style w:type="paragraph" w:customStyle="1" w:styleId="ZSubsubtitulo">
    <w:name w:val="Z_Subsubtitulo"/>
    <w:basedOn w:val="Normal"/>
    <w:pPr>
      <w:spacing w:before="180" w:after="80"/>
      <w:ind w:left="284"/>
      <w:jc w:val="both"/>
    </w:pPr>
    <w:rPr>
      <w:b/>
      <w:sz w:val="20"/>
    </w:rPr>
  </w:style>
  <w:style w:type="paragraph" w:customStyle="1" w:styleId="ZTabela">
    <w:name w:val="Z_Tabela"/>
    <w:basedOn w:val="Normal"/>
    <w:rsid w:val="00931786"/>
    <w:pPr>
      <w:spacing w:before="240" w:after="60"/>
      <w:ind w:left="993" w:hanging="993"/>
      <w:jc w:val="both"/>
    </w:pPr>
    <w:rPr>
      <w:sz w:val="20"/>
    </w:rPr>
  </w:style>
  <w:style w:type="paragraph" w:customStyle="1" w:styleId="zFigura">
    <w:name w:val="z_Figura"/>
    <w:basedOn w:val="Normal"/>
    <w:link w:val="zFiguraChar"/>
    <w:pPr>
      <w:spacing w:before="60" w:after="240"/>
      <w:jc w:val="both"/>
    </w:pPr>
    <w:rPr>
      <w:rFonts w:ascii="Roman PS" w:hAnsi="Roman PS"/>
      <w:sz w:val="20"/>
    </w:rPr>
  </w:style>
  <w:style w:type="character" w:customStyle="1" w:styleId="zFiguraChar">
    <w:name w:val="z_Figura Char"/>
    <w:link w:val="zFigura"/>
    <w:rsid w:val="00FE19B5"/>
    <w:rPr>
      <w:lang w:val="pt-BR" w:eastAsia="pt-BR" w:bidi="ar-SA"/>
    </w:rPr>
  </w:style>
  <w:style w:type="paragraph" w:customStyle="1" w:styleId="Zbibliografia">
    <w:name w:val="Z_bibliografia"/>
    <w:basedOn w:val="Normal"/>
    <w:pPr>
      <w:spacing w:before="36" w:after="36"/>
      <w:ind w:left="244" w:hanging="244"/>
      <w:jc w:val="both"/>
    </w:pPr>
    <w:rPr>
      <w:sz w:val="18"/>
    </w:rPr>
  </w:style>
  <w:style w:type="paragraph" w:styleId="Recuodecorpodetexto2">
    <w:name w:val="Body Text Indent 2"/>
    <w:basedOn w:val="Normal"/>
    <w:pPr>
      <w:ind w:firstLine="709"/>
      <w:jc w:val="both"/>
    </w:pPr>
  </w:style>
  <w:style w:type="paragraph" w:styleId="Recuodecorpodetexto">
    <w:name w:val="Body Text Indent"/>
    <w:basedOn w:val="Normal"/>
    <w:link w:val="RecuodecorpodetextoChar"/>
    <w:pPr>
      <w:spacing w:line="360" w:lineRule="auto"/>
      <w:ind w:firstLine="708"/>
      <w:jc w:val="both"/>
    </w:pPr>
    <w:rPr>
      <w:rFonts w:ascii="Roman PS" w:hAnsi="Roman PS"/>
    </w:rPr>
  </w:style>
  <w:style w:type="character" w:customStyle="1" w:styleId="RecuodecorpodetextoChar">
    <w:name w:val="Recuo de corpo de texto Char"/>
    <w:link w:val="Recuodecorpodetexto"/>
    <w:locked/>
    <w:rsid w:val="009F5C67"/>
    <w:rPr>
      <w:sz w:val="24"/>
      <w:lang w:val="pt-BR" w:eastAsia="pt-BR" w:bidi="ar-SA"/>
    </w:rPr>
  </w:style>
  <w:style w:type="paragraph" w:styleId="Recuodecorpodetexto3">
    <w:name w:val="Body Text Indent 3"/>
    <w:basedOn w:val="Normal"/>
    <w:pPr>
      <w:ind w:left="993" w:hanging="284"/>
      <w:jc w:val="both"/>
    </w:pPr>
  </w:style>
  <w:style w:type="paragraph" w:styleId="Textodenotadefim">
    <w:name w:val="endnote text"/>
    <w:basedOn w:val="Normal"/>
    <w:semiHidden/>
    <w:rPr>
      <w:spacing w:val="-10"/>
      <w:sz w:val="20"/>
    </w:rPr>
  </w:style>
  <w:style w:type="paragraph" w:customStyle="1" w:styleId="adeslocamento">
    <w:name w:val="a_deslocamento"/>
    <w:basedOn w:val="ZParagrafo"/>
    <w:pPr>
      <w:ind w:left="284" w:hanging="284"/>
    </w:pPr>
  </w:style>
  <w:style w:type="paragraph" w:styleId="Corpodetexto">
    <w:name w:val="Body Text"/>
    <w:basedOn w:val="Normal"/>
    <w:link w:val="CorpodetextoChar"/>
    <w:pPr>
      <w:jc w:val="both"/>
    </w:pPr>
  </w:style>
  <w:style w:type="character" w:styleId="Hyperlink">
    <w:name w:val="Hyperlink"/>
    <w:rPr>
      <w:color w:val="0000FF"/>
      <w:u w:val="single"/>
    </w:rPr>
  </w:style>
  <w:style w:type="character" w:styleId="HiperlinkVisitado">
    <w:name w:val="FollowedHyperlink"/>
    <w:rPr>
      <w:color w:val="800080"/>
      <w:u w:val="single"/>
    </w:rPr>
  </w:style>
  <w:style w:type="paragraph" w:customStyle="1" w:styleId="Bibliografia1">
    <w:name w:val="Bibliografia1"/>
    <w:basedOn w:val="Normal"/>
    <w:semiHidden/>
    <w:pPr>
      <w:tabs>
        <w:tab w:val="left" w:pos="1134"/>
      </w:tabs>
      <w:spacing w:after="240"/>
      <w:ind w:left="340" w:hanging="340"/>
      <w:jc w:val="both"/>
    </w:pPr>
  </w:style>
  <w:style w:type="paragraph" w:customStyle="1" w:styleId="Citao1">
    <w:name w:val="Citação1"/>
    <w:semiHidden/>
    <w:pPr>
      <w:keepLines/>
      <w:tabs>
        <w:tab w:val="left" w:pos="1134"/>
        <w:tab w:val="left" w:pos="1418"/>
      </w:tabs>
      <w:spacing w:before="120" w:after="480"/>
      <w:ind w:left="1134"/>
      <w:jc w:val="both"/>
    </w:pPr>
    <w:rPr>
      <w:i/>
      <w:kern w:val="28"/>
    </w:rPr>
  </w:style>
  <w:style w:type="paragraph" w:styleId="Corpodetexto2">
    <w:name w:val="Body Text 2"/>
    <w:basedOn w:val="Normal"/>
    <w:pPr>
      <w:tabs>
        <w:tab w:val="left" w:pos="1134"/>
      </w:tabs>
      <w:jc w:val="center"/>
      <w:outlineLvl w:val="0"/>
    </w:pPr>
    <w:rPr>
      <w:b/>
    </w:rPr>
  </w:style>
  <w:style w:type="paragraph" w:customStyle="1" w:styleId="Figura">
    <w:name w:val="Figura"/>
    <w:basedOn w:val="Corpodetexto"/>
    <w:next w:val="Legenda"/>
    <w:semiHidden/>
    <w:pPr>
      <w:keepNext/>
      <w:spacing w:before="120" w:after="240"/>
      <w:jc w:val="center"/>
    </w:pPr>
    <w:rPr>
      <w:rFonts w:ascii="Arial" w:hAnsi="Arial"/>
      <w:sz w:val="32"/>
    </w:rPr>
  </w:style>
  <w:style w:type="paragraph" w:styleId="Legenda">
    <w:name w:val="caption"/>
    <w:basedOn w:val="Normal"/>
    <w:next w:val="Normal"/>
    <w:uiPriority w:val="35"/>
    <w:qFormat/>
    <w:pPr>
      <w:spacing w:before="120" w:after="120"/>
    </w:pPr>
    <w:rPr>
      <w:rFonts w:ascii="Arial" w:hAnsi="Arial"/>
      <w:b/>
      <w:sz w:val="32"/>
    </w:rPr>
  </w:style>
  <w:style w:type="paragraph" w:styleId="Corpodetexto3">
    <w:name w:val="Body Text 3"/>
    <w:basedOn w:val="Normal"/>
    <w:pPr>
      <w:spacing w:line="360" w:lineRule="auto"/>
      <w:jc w:val="both"/>
    </w:pPr>
  </w:style>
  <w:style w:type="paragraph" w:styleId="MapadoDocumento">
    <w:name w:val="Document Map"/>
    <w:basedOn w:val="Normal"/>
    <w:semiHidden/>
    <w:pPr>
      <w:shd w:val="clear" w:color="auto" w:fill="000080"/>
    </w:pPr>
    <w:rPr>
      <w:rFonts w:ascii="Tahoma" w:hAnsi="Tahoma"/>
      <w:sz w:val="32"/>
    </w:rPr>
  </w:style>
  <w:style w:type="character" w:styleId="Forte">
    <w:name w:val="Strong"/>
    <w:uiPriority w:val="22"/>
    <w:qFormat/>
    <w:rPr>
      <w:b/>
    </w:rPr>
  </w:style>
  <w:style w:type="paragraph" w:customStyle="1" w:styleId="zdeslocamento">
    <w:name w:val="z_deslocamento"/>
    <w:basedOn w:val="ZParagrafo"/>
    <w:pPr>
      <w:spacing w:before="60" w:after="120"/>
      <w:ind w:left="227" w:hanging="227"/>
    </w:pPr>
  </w:style>
  <w:style w:type="paragraph" w:customStyle="1" w:styleId="atituloAbstract">
    <w:name w:val="a_titulo_Abstract"/>
    <w:basedOn w:val="ZTituloArtigo"/>
    <w:pPr>
      <w:spacing w:before="0" w:after="480"/>
      <w:jc w:val="left"/>
    </w:pPr>
    <w:rPr>
      <w:sz w:val="20"/>
    </w:rPr>
  </w:style>
  <w:style w:type="paragraph" w:styleId="Textodebalo">
    <w:name w:val="Balloon Text"/>
    <w:basedOn w:val="Normal"/>
    <w:link w:val="TextodebaloChar"/>
    <w:semiHidden/>
    <w:rPr>
      <w:rFonts w:ascii="Tahoma" w:hAnsi="Tahoma" w:cs="Tahoma"/>
      <w:sz w:val="16"/>
      <w:szCs w:val="16"/>
    </w:rPr>
  </w:style>
  <w:style w:type="character" w:customStyle="1" w:styleId="TextodebaloChar">
    <w:name w:val="Texto de balão Char"/>
    <w:link w:val="Textodebalo"/>
    <w:locked/>
    <w:rsid w:val="009F5C67"/>
    <w:rPr>
      <w:rFonts w:ascii="Tahoma" w:hAnsi="Tahoma" w:cs="Tahoma"/>
      <w:sz w:val="16"/>
      <w:szCs w:val="16"/>
      <w:lang w:val="pt-BR" w:eastAsia="pt-BR" w:bidi="ar-SA"/>
    </w:rPr>
  </w:style>
  <w:style w:type="paragraph" w:customStyle="1" w:styleId="aequao">
    <w:name w:val="a_equação"/>
    <w:basedOn w:val="Normal"/>
    <w:rsid w:val="00F901CD"/>
    <w:pPr>
      <w:spacing w:before="240" w:after="240"/>
      <w:jc w:val="center"/>
    </w:pPr>
    <w:rPr>
      <w:color w:val="000000"/>
      <w:sz w:val="22"/>
      <w:szCs w:val="22"/>
    </w:rPr>
  </w:style>
  <w:style w:type="table" w:styleId="Tabelacomgrade">
    <w:name w:val="Table Grid"/>
    <w:basedOn w:val="Tabelanormal"/>
    <w:rsid w:val="001C7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pPr>
      <w:ind w:left="284" w:right="284" w:firstLine="708"/>
      <w:jc w:val="both"/>
    </w:pPr>
    <w:rPr>
      <w:rFonts w:ascii="Arial" w:hAnsi="Arial" w:cs="Arial"/>
      <w:i/>
      <w:iCs/>
    </w:rPr>
  </w:style>
  <w:style w:type="character" w:customStyle="1" w:styleId="A3">
    <w:name w:val="A3"/>
    <w:rsid w:val="00D35913"/>
    <w:rPr>
      <w:rFonts w:ascii="Times" w:hAnsi="Times" w:cs="Times" w:hint="default"/>
      <w:color w:val="000000"/>
      <w:sz w:val="18"/>
      <w:szCs w:val="18"/>
    </w:rPr>
  </w:style>
  <w:style w:type="paragraph" w:customStyle="1" w:styleId="msonormalcxsplast">
    <w:name w:val="msonormalcxsplast"/>
    <w:basedOn w:val="Normal"/>
    <w:rsid w:val="007210E3"/>
    <w:pPr>
      <w:spacing w:before="100" w:beforeAutospacing="1" w:after="100" w:afterAutospacing="1"/>
    </w:pPr>
  </w:style>
  <w:style w:type="paragraph" w:customStyle="1" w:styleId="msonormalcxspmiddle">
    <w:name w:val="msonormalcxspmiddle"/>
    <w:basedOn w:val="Normal"/>
    <w:rsid w:val="007210E3"/>
    <w:pPr>
      <w:spacing w:before="100" w:beforeAutospacing="1" w:after="100" w:afterAutospacing="1"/>
    </w:pPr>
  </w:style>
  <w:style w:type="paragraph" w:customStyle="1" w:styleId="Default">
    <w:name w:val="Default"/>
    <w:basedOn w:val="Textodenotaderodap"/>
    <w:rsid w:val="00745325"/>
    <w:pPr>
      <w:autoSpaceDE w:val="0"/>
      <w:autoSpaceDN w:val="0"/>
      <w:adjustRightInd w:val="0"/>
    </w:pPr>
    <w:rPr>
      <w:rFonts w:cs="Arial"/>
      <w:color w:val="000000"/>
    </w:rPr>
  </w:style>
  <w:style w:type="character" w:customStyle="1" w:styleId="apple-style-span">
    <w:name w:val="apple-style-span"/>
    <w:basedOn w:val="Fontepargpadro"/>
    <w:rsid w:val="00F96FEB"/>
  </w:style>
  <w:style w:type="character" w:customStyle="1" w:styleId="texto1">
    <w:name w:val="texto1"/>
    <w:rsid w:val="0064513E"/>
    <w:rPr>
      <w:color w:val="666666"/>
      <w:sz w:val="17"/>
      <w:szCs w:val="17"/>
    </w:rPr>
  </w:style>
  <w:style w:type="character" w:styleId="Refdecomentrio">
    <w:name w:val="annotation reference"/>
    <w:rsid w:val="009F5C67"/>
    <w:rPr>
      <w:sz w:val="16"/>
      <w:szCs w:val="16"/>
    </w:rPr>
  </w:style>
  <w:style w:type="character" w:customStyle="1" w:styleId="TextodecomentrioChar">
    <w:name w:val="Texto de comentário Char"/>
    <w:link w:val="Textodecomentrio"/>
    <w:locked/>
    <w:rsid w:val="009F5C67"/>
    <w:rPr>
      <w:lang w:val="pt-BR" w:eastAsia="pt-BR" w:bidi="ar-SA"/>
    </w:rPr>
  </w:style>
  <w:style w:type="paragraph" w:styleId="Textodecomentrio">
    <w:name w:val="annotation text"/>
    <w:basedOn w:val="Normal"/>
    <w:link w:val="TextodecomentrioChar"/>
    <w:rsid w:val="009F5C67"/>
    <w:rPr>
      <w:rFonts w:ascii="Roman PS" w:hAnsi="Roman PS"/>
      <w:sz w:val="20"/>
    </w:rPr>
  </w:style>
  <w:style w:type="character" w:customStyle="1" w:styleId="TextosemFormataoChar">
    <w:name w:val="Texto sem Formatação Char"/>
    <w:link w:val="TextosemFormatao"/>
    <w:locked/>
    <w:rsid w:val="009F5C67"/>
    <w:rPr>
      <w:rFonts w:ascii="Courier New" w:hAnsi="Courier New" w:cs="Courier New"/>
      <w:sz w:val="24"/>
      <w:lang w:val="pt-BR" w:eastAsia="pt-BR" w:bidi="ar-SA"/>
    </w:rPr>
  </w:style>
  <w:style w:type="paragraph" w:styleId="TextosemFormatao">
    <w:name w:val="Plain Text"/>
    <w:basedOn w:val="Normal"/>
    <w:link w:val="TextosemFormataoChar"/>
    <w:semiHidden/>
    <w:rsid w:val="009F5C67"/>
    <w:rPr>
      <w:rFonts w:ascii="Courier New" w:hAnsi="Courier New" w:cs="Courier New"/>
    </w:rPr>
  </w:style>
  <w:style w:type="character" w:customStyle="1" w:styleId="AssuntodocomentrioChar">
    <w:name w:val="Assunto do comentário Char"/>
    <w:link w:val="Assuntodocomentrio"/>
    <w:locked/>
    <w:rsid w:val="009F5C67"/>
    <w:rPr>
      <w:b/>
      <w:bCs/>
      <w:lang w:val="pt-BR" w:eastAsia="pt-BR" w:bidi="ar-SA"/>
    </w:rPr>
  </w:style>
  <w:style w:type="paragraph" w:styleId="Assuntodocomentrio">
    <w:name w:val="annotation subject"/>
    <w:basedOn w:val="Textodecomentrio"/>
    <w:next w:val="Textodecomentrio"/>
    <w:link w:val="AssuntodocomentrioChar"/>
    <w:rsid w:val="009F5C67"/>
    <w:rPr>
      <w:b/>
      <w:bCs/>
    </w:rPr>
  </w:style>
  <w:style w:type="numbering" w:customStyle="1" w:styleId="Semlista1">
    <w:name w:val="Sem lista1"/>
    <w:next w:val="Semlista"/>
    <w:semiHidden/>
    <w:rsid w:val="00D7053D"/>
  </w:style>
  <w:style w:type="character" w:styleId="nfase">
    <w:name w:val="Emphasis"/>
    <w:uiPriority w:val="20"/>
    <w:qFormat/>
    <w:rsid w:val="00D7053D"/>
    <w:rPr>
      <w:b/>
      <w:bCs/>
      <w:i w:val="0"/>
      <w:iCs w:val="0"/>
    </w:rPr>
  </w:style>
  <w:style w:type="character" w:customStyle="1" w:styleId="CharChar2">
    <w:name w:val="Char Char2"/>
    <w:semiHidden/>
    <w:locked/>
    <w:rsid w:val="00D7053D"/>
    <w:rPr>
      <w:lang w:val="x-none" w:eastAsia="pt-PT" w:bidi="ar-SA"/>
    </w:rPr>
  </w:style>
  <w:style w:type="character" w:customStyle="1" w:styleId="CabealhoChar">
    <w:name w:val="Cabeçalho Char"/>
    <w:link w:val="Cabealho"/>
    <w:uiPriority w:val="99"/>
    <w:locked/>
    <w:rsid w:val="00D7053D"/>
    <w:rPr>
      <w:sz w:val="24"/>
      <w:lang w:val="pt-BR" w:eastAsia="pt-BR" w:bidi="ar-SA"/>
    </w:rPr>
  </w:style>
  <w:style w:type="character" w:customStyle="1" w:styleId="RodapChar">
    <w:name w:val="Rodapé Char"/>
    <w:link w:val="Rodap"/>
    <w:uiPriority w:val="99"/>
    <w:locked/>
    <w:rsid w:val="00D7053D"/>
    <w:rPr>
      <w:sz w:val="24"/>
      <w:lang w:val="pt-BR" w:eastAsia="pt-BR" w:bidi="ar-SA"/>
    </w:rPr>
  </w:style>
  <w:style w:type="character" w:customStyle="1" w:styleId="CharChar1">
    <w:name w:val="Char Char1"/>
    <w:semiHidden/>
    <w:locked/>
    <w:rsid w:val="00D7053D"/>
    <w:rPr>
      <w:b/>
      <w:bCs/>
      <w:lang w:val="x-none" w:eastAsia="pt-PT" w:bidi="ar-SA"/>
    </w:rPr>
  </w:style>
  <w:style w:type="character" w:customStyle="1" w:styleId="CharChar">
    <w:name w:val="Char Char"/>
    <w:semiHidden/>
    <w:locked/>
    <w:rsid w:val="00D7053D"/>
    <w:rPr>
      <w:rFonts w:ascii="Tahoma" w:hAnsi="Tahoma" w:cs="Tahoma"/>
      <w:sz w:val="16"/>
      <w:szCs w:val="16"/>
      <w:lang w:val="x-none" w:eastAsia="pt-PT" w:bidi="ar-SA"/>
    </w:rPr>
  </w:style>
  <w:style w:type="paragraph" w:customStyle="1" w:styleId="normalcentrado">
    <w:name w:val="normalcentrado"/>
    <w:basedOn w:val="Normal"/>
    <w:rsid w:val="00D7053D"/>
    <w:pPr>
      <w:spacing w:line="480" w:lineRule="auto"/>
      <w:jc w:val="center"/>
    </w:pPr>
    <w:rPr>
      <w:lang w:val="pt-PT" w:eastAsia="pt-PT"/>
    </w:rPr>
  </w:style>
  <w:style w:type="paragraph" w:customStyle="1" w:styleId="LightList-Accent51">
    <w:name w:val="Light List - Accent 51"/>
    <w:basedOn w:val="Normal"/>
    <w:uiPriority w:val="34"/>
    <w:qFormat/>
    <w:rsid w:val="004B3FD9"/>
    <w:pPr>
      <w:spacing w:line="360" w:lineRule="auto"/>
      <w:ind w:left="720"/>
      <w:contextualSpacing/>
      <w:jc w:val="both"/>
    </w:pPr>
    <w:rPr>
      <w:rFonts w:ascii="Arial" w:eastAsia="Cambria" w:hAnsi="Arial"/>
      <w:lang w:val="pt-PT" w:eastAsia="pt-PT"/>
    </w:rPr>
  </w:style>
  <w:style w:type="character" w:customStyle="1" w:styleId="TextodenotaderodapChar">
    <w:name w:val="Texto de nota de rodapé Char"/>
    <w:link w:val="Textodenotaderodap"/>
    <w:uiPriority w:val="99"/>
    <w:rsid w:val="004B3FD9"/>
    <w:rPr>
      <w:rFonts w:ascii="Times New Roman" w:hAnsi="Times New Roman"/>
    </w:rPr>
  </w:style>
  <w:style w:type="character" w:customStyle="1" w:styleId="TtuloCar">
    <w:name w:val="Título Car"/>
    <w:rsid w:val="00546798"/>
    <w:rPr>
      <w:rFonts w:ascii="Times New Roman" w:hAnsi="Times New Roman"/>
      <w:b/>
      <w:sz w:val="28"/>
      <w:lang w:val="en-US"/>
    </w:rPr>
  </w:style>
  <w:style w:type="character" w:customStyle="1" w:styleId="hps">
    <w:name w:val="hps"/>
    <w:rsid w:val="00546798"/>
  </w:style>
  <w:style w:type="paragraph" w:customStyle="1" w:styleId="COcorpodotexto">
    <w:name w:val="CO_corpo do texto"/>
    <w:basedOn w:val="Normal"/>
    <w:qFormat/>
    <w:rsid w:val="003F2305"/>
    <w:pPr>
      <w:spacing w:line="360" w:lineRule="auto"/>
      <w:ind w:firstLine="709"/>
      <w:contextualSpacing/>
      <w:jc w:val="both"/>
    </w:pPr>
    <w:rPr>
      <w:rFonts w:eastAsia="MS Mincho"/>
      <w:lang w:eastAsia="en-US"/>
    </w:rPr>
  </w:style>
  <w:style w:type="character" w:customStyle="1" w:styleId="st">
    <w:name w:val="st"/>
    <w:rsid w:val="003F2305"/>
  </w:style>
  <w:style w:type="character" w:customStyle="1" w:styleId="texto">
    <w:name w:val="texto"/>
    <w:rsid w:val="003F2305"/>
  </w:style>
  <w:style w:type="paragraph" w:customStyle="1" w:styleId="EducFisica">
    <w:name w:val="Educ Fisica"/>
    <w:basedOn w:val="Normal"/>
    <w:qFormat/>
    <w:rsid w:val="00902745"/>
    <w:pPr>
      <w:ind w:firstLine="567"/>
      <w:jc w:val="both"/>
    </w:pPr>
    <w:rPr>
      <w:sz w:val="22"/>
    </w:rPr>
  </w:style>
  <w:style w:type="character" w:customStyle="1" w:styleId="A1">
    <w:name w:val="A1"/>
    <w:uiPriority w:val="99"/>
    <w:rsid w:val="00A713F1"/>
    <w:rPr>
      <w:color w:val="000000"/>
      <w:sz w:val="16"/>
      <w:szCs w:val="16"/>
    </w:rPr>
  </w:style>
  <w:style w:type="paragraph" w:styleId="NormalWeb">
    <w:name w:val="Normal (Web)"/>
    <w:basedOn w:val="Normal"/>
    <w:uiPriority w:val="99"/>
    <w:rsid w:val="00D8720B"/>
    <w:pPr>
      <w:spacing w:before="100" w:beforeAutospacing="1" w:after="100" w:afterAutospacing="1"/>
    </w:pPr>
    <w:rPr>
      <w:color w:val="000000"/>
      <w:lang w:val="pt-PT" w:eastAsia="pt-PT"/>
    </w:rPr>
  </w:style>
  <w:style w:type="character" w:customStyle="1" w:styleId="apple-converted-space">
    <w:name w:val="apple-converted-space"/>
    <w:rsid w:val="00DF70F5"/>
  </w:style>
  <w:style w:type="character" w:customStyle="1" w:styleId="slug-doi">
    <w:name w:val="slug-doi"/>
    <w:rsid w:val="009512C8"/>
  </w:style>
  <w:style w:type="character" w:customStyle="1" w:styleId="Ttulo2Car">
    <w:name w:val="Título 2 Car"/>
    <w:rsid w:val="00767431"/>
    <w:rPr>
      <w:rFonts w:ascii="Times New Roman" w:hAnsi="Times New Roman"/>
      <w:b/>
      <w:sz w:val="24"/>
    </w:rPr>
  </w:style>
  <w:style w:type="paragraph" w:customStyle="1" w:styleId="Standarduser">
    <w:name w:val="Standard (user)"/>
    <w:rsid w:val="00767431"/>
    <w:pPr>
      <w:suppressAutoHyphens/>
      <w:autoSpaceDN w:val="0"/>
      <w:spacing w:after="280"/>
      <w:jc w:val="both"/>
      <w:textAlignment w:val="baseline"/>
    </w:pPr>
    <w:rPr>
      <w:rFonts w:ascii="Calibri" w:eastAsia="Calibri" w:hAnsi="Calibri"/>
      <w:kern w:val="3"/>
      <w:sz w:val="22"/>
      <w:szCs w:val="22"/>
      <w:lang w:eastAsia="zh-CN"/>
    </w:rPr>
  </w:style>
  <w:style w:type="character" w:customStyle="1" w:styleId="longtext">
    <w:name w:val="long_text"/>
    <w:rsid w:val="00E206E8"/>
  </w:style>
  <w:style w:type="character" w:customStyle="1" w:styleId="Ttulo3Car">
    <w:name w:val="Título 3 Car"/>
    <w:basedOn w:val="Fontepargpadro"/>
    <w:rsid w:val="00211EEA"/>
    <w:rPr>
      <w:rFonts w:ascii="Times New Roman" w:hAnsi="Times New Roman"/>
      <w:sz w:val="24"/>
      <w:lang w:eastAsia="pt-BR"/>
    </w:rPr>
  </w:style>
  <w:style w:type="character" w:customStyle="1" w:styleId="CorpodetextoChar">
    <w:name w:val="Corpo de texto Char"/>
    <w:basedOn w:val="Fontepargpadro"/>
    <w:link w:val="Corpodetexto"/>
    <w:rsid w:val="003F05B4"/>
    <w:rPr>
      <w:rFonts w:ascii="Times New Roman" w:hAnsi="Times New Roman"/>
      <w:sz w:val="24"/>
      <w:lang w:eastAsia="pt-BR"/>
    </w:rPr>
  </w:style>
  <w:style w:type="paragraph" w:styleId="PargrafodaLista">
    <w:name w:val="List Paragraph"/>
    <w:basedOn w:val="Normal"/>
    <w:uiPriority w:val="72"/>
    <w:rsid w:val="00636879"/>
    <w:pPr>
      <w:ind w:left="720"/>
      <w:contextualSpacing/>
    </w:pPr>
  </w:style>
  <w:style w:type="table" w:customStyle="1" w:styleId="a">
    <w:basedOn w:val="Tabelanormal"/>
    <w:tblPr>
      <w:tblStyleRowBandSize w:val="1"/>
      <w:tblStyleColBandSize w:val="1"/>
      <w:tblCellMar>
        <w:left w:w="115" w:type="dxa"/>
        <w:right w:w="115" w:type="dxa"/>
      </w:tblCellMar>
    </w:tblPr>
  </w:style>
  <w:style w:type="table" w:customStyle="1" w:styleId="a0">
    <w:basedOn w:val="Tabelanormal"/>
    <w:tblPr>
      <w:tblStyleRowBandSize w:val="1"/>
      <w:tblStyleColBandSize w:val="1"/>
      <w:tblCellMar>
        <w:left w:w="115" w:type="dxa"/>
        <w:right w:w="115" w:type="dxa"/>
      </w:tblCellMar>
    </w:tblPr>
  </w:style>
  <w:style w:type="table" w:customStyle="1" w:styleId="a2">
    <w:basedOn w:val="Tabelanormal"/>
    <w:tblPr>
      <w:tblStyleRowBandSize w:val="1"/>
      <w:tblStyleColBandSize w:val="1"/>
      <w:tblCellMar>
        <w:left w:w="115" w:type="dxa"/>
        <w:right w:w="115" w:type="dxa"/>
      </w:tblCellMar>
    </w:tblPr>
  </w:style>
  <w:style w:type="table" w:customStyle="1" w:styleId="a4">
    <w:basedOn w:val="Tabelanormal"/>
    <w:tblPr>
      <w:tblStyleRowBandSize w:val="1"/>
      <w:tblStyleColBandSize w:val="1"/>
      <w:tblCellMar>
        <w:left w:w="93" w:type="dxa"/>
        <w:right w:w="93"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character" w:customStyle="1" w:styleId="Mencinsinresolver1">
    <w:name w:val="Mención sin resolver1"/>
    <w:basedOn w:val="Fontepargpadro"/>
    <w:uiPriority w:val="99"/>
    <w:semiHidden/>
    <w:unhideWhenUsed/>
    <w:rsid w:val="00451C9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paragraph" w:styleId="Reviso">
    <w:name w:val="Revision"/>
    <w:hidden/>
    <w:uiPriority w:val="99"/>
    <w:semiHidden/>
    <w:rsid w:val="007F2368"/>
  </w:style>
  <w:style w:type="character" w:customStyle="1" w:styleId="Mencinsinresolver2">
    <w:name w:val="Mención sin resolver2"/>
    <w:basedOn w:val="Fontepargpadro"/>
    <w:uiPriority w:val="99"/>
    <w:semiHidden/>
    <w:unhideWhenUsed/>
    <w:rsid w:val="000F69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47197/retos.v63.109449" TargetMode="External"/><Relationship Id="rId18" Type="http://schemas.openxmlformats.org/officeDocument/2006/relationships/hyperlink" Target="https://doi.org/10.1177/1464884917716818" TargetMode="External"/><Relationship Id="rId26" Type="http://schemas.openxmlformats.org/officeDocument/2006/relationships/hyperlink" Target="http://scielo.isciii.es/scielo.php?script=sci_arttext&amp;pid=S1578-84232014000100011&amp;lng=es" TargetMode="External"/><Relationship Id="rId39" Type="http://schemas.openxmlformats.org/officeDocument/2006/relationships/hyperlink" Target="https://revistas.cef.udima.es/index.php/ceflegal/article/view/19389" TargetMode="External"/><Relationship Id="rId21" Type="http://schemas.openxmlformats.org/officeDocument/2006/relationships/hyperlink" Target="https://doi.org/10.1177/1012690207084749" TargetMode="External"/><Relationship Id="rId34" Type="http://schemas.openxmlformats.org/officeDocument/2006/relationships/hyperlink" Target="https://www.marca.com/mundo-marca/2025/04/16/67fe7449268e3e25508b4575.html" TargetMode="External"/><Relationship Id="rId42" Type="http://schemas.openxmlformats.org/officeDocument/2006/relationships/hyperlink" Target="https://www.boe.es/buscar/doc.php?id=BOE-A-2007-6115" TargetMode="External"/><Relationship Id="rId47" Type="http://schemas.openxmlformats.org/officeDocument/2006/relationships/hyperlink" Target="https://doi.org/10.3916/C28-2007-01" TargetMode="External"/><Relationship Id="rId50" Type="http://schemas.openxmlformats.org/officeDocument/2006/relationships/hyperlink" Target="https://doi.org/10.30935/ojcmt/13309"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177/2167479515588761" TargetMode="External"/><Relationship Id="rId29" Type="http://schemas.openxmlformats.org/officeDocument/2006/relationships/hyperlink" Target="https://doi.org/10.5672/apunts.2014-0983.es.(2015/4).122.09" TargetMode="External"/><Relationship Id="rId11" Type="http://schemas.openxmlformats.org/officeDocument/2006/relationships/chart" Target="charts/chart2.xml"/><Relationship Id="rId24" Type="http://schemas.openxmlformats.org/officeDocument/2006/relationships/hyperlink" Target="https://doi.org/10.1177/13675494241245632" TargetMode="External"/><Relationship Id="rId32" Type="http://schemas.openxmlformats.org/officeDocument/2006/relationships/hyperlink" Target="https://doi.org/10.22456/1982-8918.53778" TargetMode="External"/><Relationship Id="rId37" Type="http://schemas.openxmlformats.org/officeDocument/2006/relationships/hyperlink" Target="https://doi.org/10.1177/1461444818769689" TargetMode="External"/><Relationship Id="rId40" Type="http://schemas.openxmlformats.org/officeDocument/2006/relationships/hyperlink" Target="https://doi.org/10.1177/10126902251342321" TargetMode="External"/><Relationship Id="rId45" Type="http://schemas.openxmlformats.org/officeDocument/2006/relationships/hyperlink" Target="https://doi.org/10.12800/ccd.v12i36.950" TargetMode="Externa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doi.org/10.5209/ESMP.5801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5294/jpehs.v10i1.44534" TargetMode="External"/><Relationship Id="rId22" Type="http://schemas.openxmlformats.org/officeDocument/2006/relationships/hyperlink" Target="https://doi.org/10.1123/SSJ.5.3.197" TargetMode="External"/><Relationship Id="rId27" Type="http://schemas.openxmlformats.org/officeDocument/2006/relationships/hyperlink" Target="https://doi.org/10.5672/apunts.2014-0983.es.(2021/4).146.04" TargetMode="External"/><Relationship Id="rId30" Type="http://schemas.openxmlformats.org/officeDocument/2006/relationships/hyperlink" Target="https://doi.org/10.47197/retos.v0i34.63412" TargetMode="External"/><Relationship Id="rId35" Type="http://schemas.openxmlformats.org/officeDocument/2006/relationships/hyperlink" Target="https://doi.org/10.5209/ESMP.62212" TargetMode="External"/><Relationship Id="rId43" Type="http://schemas.openxmlformats.org/officeDocument/2006/relationships/hyperlink" Target="https://doi.org/10.5672/apunts.2014-0983.es.(2024/3).157.03" TargetMode="External"/><Relationship Id="rId48" Type="http://schemas.openxmlformats.org/officeDocument/2006/relationships/hyperlink" Target="https://dialnet.unirioja.es/servlet/articulo?codigo=8907039"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doi.org/10.22456/2595-4377.133374" TargetMode="External"/><Relationship Id="rId3" Type="http://schemas.openxmlformats.org/officeDocument/2006/relationships/numbering" Target="numbering.xml"/><Relationship Id="rId12" Type="http://schemas.openxmlformats.org/officeDocument/2006/relationships/hyperlink" Target="https://www.nbcolympics.com/news/paris-2024-sets-milestone-first-olympics-achieve-full-gender-parity" TargetMode="External"/><Relationship Id="rId17" Type="http://schemas.openxmlformats.org/officeDocument/2006/relationships/hyperlink" Target="https://doi.org/10.1177/1464884917716818" TargetMode="External"/><Relationship Id="rId25" Type="http://schemas.openxmlformats.org/officeDocument/2006/relationships/hyperlink" Target="https://doi.org/10.1177/2167479512471334" TargetMode="External"/><Relationship Id="rId33" Type="http://schemas.openxmlformats.org/officeDocument/2006/relationships/hyperlink" Target="https://doi.org/10.3916/C38-2012-02-03" TargetMode="External"/><Relationship Id="rId38" Type="http://schemas.openxmlformats.org/officeDocument/2006/relationships/hyperlink" Target="https://doi.org/10.1080/09589236.2017.1365696" TargetMode="External"/><Relationship Id="rId46" Type="http://schemas.openxmlformats.org/officeDocument/2006/relationships/hyperlink" Target="https://doi.org/10.1080/17482631.2017.1379338" TargetMode="External"/><Relationship Id="rId59" Type="http://schemas.openxmlformats.org/officeDocument/2006/relationships/theme" Target="theme/theme1.xml"/><Relationship Id="rId20" Type="http://schemas.openxmlformats.org/officeDocument/2006/relationships/hyperlink" Target="https://doi.org/10.5209/cgen.68559" TargetMode="External"/><Relationship Id="rId41" Type="http://schemas.openxmlformats.org/officeDocument/2006/relationships/hyperlink" Target="https://www.boe.es/buscar/doc.php?id=BOE-A-2022-11316"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80/14680777.2023.2201663" TargetMode="External"/><Relationship Id="rId23" Type="http://schemas.openxmlformats.org/officeDocument/2006/relationships/hyperlink" Target="https://doi.org/10.14198/fem.2022.39.04" TargetMode="External"/><Relationship Id="rId28" Type="http://schemas.openxmlformats.org/officeDocument/2006/relationships/hyperlink" Target="https://doi.org/10.2478/pcssr-2020-0015" TargetMode="External"/><Relationship Id="rId36" Type="http://schemas.openxmlformats.org/officeDocument/2006/relationships/hyperlink" Target="https://doi.org/10.1080/17430437.2017.134661" TargetMode="External"/><Relationship Id="rId49" Type="http://schemas.openxmlformats.org/officeDocument/2006/relationships/hyperlink" Target="https://doi.org/10.3390/ijerph16030486" TargetMode="External"/><Relationship Id="rId57" Type="http://schemas.openxmlformats.org/officeDocument/2006/relationships/footer" Target="footer2.xml"/><Relationship Id="rId10" Type="http://schemas.openxmlformats.org/officeDocument/2006/relationships/chart" Target="charts/chart1.xml"/><Relationship Id="rId31" Type="http://schemas.openxmlformats.org/officeDocument/2006/relationships/hyperlink" Target="https://doi.org/10.5944/educXX1.13980" TargetMode="External"/><Relationship Id="rId44" Type="http://schemas.openxmlformats.org/officeDocument/2006/relationships/hyperlink" Target="https://doi.org/10.1080/15456870.2020.1825219" TargetMode="External"/><Relationship Id="rId52" Type="http://schemas.openxmlformats.org/officeDocument/2006/relationships/hyperlink" Target="https://doi.org/10.14201/fjc202021658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010755475885364E-2"/>
          <c:y val="4.4345898004434593E-2"/>
          <c:w val="0.88787823793897824"/>
          <c:h val="0.81451986915261876"/>
        </c:manualLayout>
      </c:layout>
      <c:barChart>
        <c:barDir val="col"/>
        <c:grouping val="percentStacked"/>
        <c:varyColors val="0"/>
        <c:ser>
          <c:idx val="0"/>
          <c:order val="0"/>
          <c:tx>
            <c:strRef>
              <c:f>Hoja1!$B$1</c:f>
              <c:strCache>
                <c:ptCount val="1"/>
                <c:pt idx="0">
                  <c:v>Total Headlines Marca</c:v>
                </c:pt>
              </c:strCache>
            </c:strRef>
          </c:tx>
          <c:spPr>
            <a:solidFill>
              <a:schemeClr val="dk1">
                <a:tint val="88500"/>
              </a:schemeClr>
            </a:solidFill>
            <a:ln>
              <a:noFill/>
            </a:ln>
            <a:effectLst/>
          </c:spPr>
          <c:invertIfNegative val="0"/>
          <c:dLbls>
            <c:dLbl>
              <c:idx val="0"/>
              <c:tx>
                <c:rich>
                  <a:bodyPr/>
                  <a:lstStyle/>
                  <a:p>
                    <a:fld id="{15924ACE-741D-4F88-9D05-B545F0B9F5DD}" type="VALUE">
                      <a:rPr lang="en-US" b="1">
                        <a:solidFill>
                          <a:schemeClr val="bg1"/>
                        </a:solidFill>
                      </a:rPr>
                      <a:pPr/>
                      <a:t>[VALOR]</a:t>
                    </a:fld>
                    <a:endParaRPr lang="pt-B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201-4A20-A4D2-3CA039708C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Hoja1!$B$2</c:f>
              <c:numCache>
                <c:formatCode>0%</c:formatCode>
                <c:ptCount val="1"/>
                <c:pt idx="0">
                  <c:v>0.53</c:v>
                </c:pt>
              </c:numCache>
            </c:numRef>
          </c:val>
          <c:extLst>
            <c:ext xmlns:c16="http://schemas.microsoft.com/office/drawing/2014/chart" uri="{C3380CC4-5D6E-409C-BE32-E72D297353CC}">
              <c16:uniqueId val="{00000001-C201-4A20-A4D2-3CA039708C17}"/>
            </c:ext>
          </c:extLst>
        </c:ser>
        <c:ser>
          <c:idx val="1"/>
          <c:order val="1"/>
          <c:tx>
            <c:strRef>
              <c:f>Hoja1!$C$1</c:f>
              <c:strCache>
                <c:ptCount val="1"/>
                <c:pt idx="0">
                  <c:v>Total Headlines AS</c:v>
                </c:pt>
              </c:strCache>
            </c:strRef>
          </c:tx>
          <c:spPr>
            <a:solidFill>
              <a:schemeClr val="dk1">
                <a:tint val="55000"/>
              </a:schemeClr>
            </a:solidFill>
            <a:ln>
              <a:noFill/>
            </a:ln>
            <a:effectLst/>
          </c:spPr>
          <c:invertIfNegative val="0"/>
          <c:dLbls>
            <c:dLbl>
              <c:idx val="0"/>
              <c:tx>
                <c:rich>
                  <a:bodyPr/>
                  <a:lstStyle/>
                  <a:p>
                    <a:fld id="{C1B26C51-648E-465D-B1C0-9F90B721D002}" type="VALUE">
                      <a:rPr lang="en-US" b="1">
                        <a:solidFill>
                          <a:schemeClr val="bg1"/>
                        </a:solidFill>
                      </a:rPr>
                      <a:pPr/>
                      <a:t>[VALOR]</a:t>
                    </a:fld>
                    <a:endParaRPr lang="pt-B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201-4A20-A4D2-3CA039708C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Hoja1!$C$2</c:f>
              <c:numCache>
                <c:formatCode>0%</c:formatCode>
                <c:ptCount val="1"/>
                <c:pt idx="0">
                  <c:v>0.47</c:v>
                </c:pt>
              </c:numCache>
            </c:numRef>
          </c:val>
          <c:extLst>
            <c:ext xmlns:c16="http://schemas.microsoft.com/office/drawing/2014/chart" uri="{C3380CC4-5D6E-409C-BE32-E72D297353CC}">
              <c16:uniqueId val="{00000003-C201-4A20-A4D2-3CA039708C17}"/>
            </c:ext>
          </c:extLst>
        </c:ser>
        <c:dLbls>
          <c:dLblPos val="ctr"/>
          <c:showLegendKey val="0"/>
          <c:showVal val="1"/>
          <c:showCatName val="0"/>
          <c:showSerName val="0"/>
          <c:showPercent val="0"/>
          <c:showBubbleSize val="0"/>
        </c:dLbls>
        <c:gapWidth val="150"/>
        <c:overlap val="100"/>
        <c:axId val="1237358815"/>
        <c:axId val="1237357375"/>
      </c:barChart>
      <c:catAx>
        <c:axId val="1237358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37357375"/>
        <c:crosses val="autoZero"/>
        <c:auto val="1"/>
        <c:lblAlgn val="ctr"/>
        <c:lblOffset val="100"/>
        <c:noMultiLvlLbl val="0"/>
      </c:catAx>
      <c:valAx>
        <c:axId val="12373573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37358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Total</c:v>
                </c:pt>
              </c:strCache>
            </c:strRef>
          </c:tx>
          <c:spPr>
            <a:solidFill>
              <a:schemeClr val="dk1">
                <a:tint val="88500"/>
              </a:schemeClr>
            </a:solidFill>
            <a:ln>
              <a:noFill/>
            </a:ln>
            <a:effectLst/>
          </c:spPr>
          <c:invertIfNegative val="0"/>
          <c:dLbls>
            <c:dLbl>
              <c:idx val="0"/>
              <c:tx>
                <c:rich>
                  <a:bodyPr/>
                  <a:lstStyle/>
                  <a:p>
                    <a:fld id="{0733E047-48D3-4AE2-ABB8-980C9A6D0347}"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A8B-4B21-B8C5-678F666DB879}"/>
                </c:ext>
              </c:extLst>
            </c:dLbl>
            <c:dLbl>
              <c:idx val="1"/>
              <c:tx>
                <c:rich>
                  <a:bodyPr/>
                  <a:lstStyle/>
                  <a:p>
                    <a:fld id="{ABF6458D-89A1-4655-8DCB-4C1E7D6E3B0E}"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A8B-4B21-B8C5-678F666DB879}"/>
                </c:ext>
              </c:extLst>
            </c:dLbl>
            <c:dLbl>
              <c:idx val="2"/>
              <c:tx>
                <c:rich>
                  <a:bodyPr/>
                  <a:lstStyle/>
                  <a:p>
                    <a:fld id="{79EC9939-358E-4FB2-BD1E-7399E44BCD5D}"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A8B-4B21-B8C5-678F666DB8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Marca</c:v>
                </c:pt>
                <c:pt idx="1">
                  <c:v>AS</c:v>
                </c:pt>
                <c:pt idx="2">
                  <c:v>Total Headlines (Marca and AS)</c:v>
                </c:pt>
              </c:strCache>
            </c:strRef>
          </c:cat>
          <c:val>
            <c:numRef>
              <c:f>Hoja1!$B$2:$B$4</c:f>
              <c:numCache>
                <c:formatCode>General</c:formatCode>
                <c:ptCount val="3"/>
                <c:pt idx="0">
                  <c:v>100</c:v>
                </c:pt>
                <c:pt idx="1">
                  <c:v>100</c:v>
                </c:pt>
                <c:pt idx="2">
                  <c:v>100</c:v>
                </c:pt>
              </c:numCache>
            </c:numRef>
          </c:val>
          <c:extLst>
            <c:ext xmlns:c16="http://schemas.microsoft.com/office/drawing/2014/chart" uri="{C3380CC4-5D6E-409C-BE32-E72D297353CC}">
              <c16:uniqueId val="{00000003-EA8B-4B21-B8C5-678F666DB879}"/>
            </c:ext>
          </c:extLst>
        </c:ser>
        <c:ser>
          <c:idx val="1"/>
          <c:order val="1"/>
          <c:tx>
            <c:strRef>
              <c:f>Hoja1!$C$1</c:f>
              <c:strCache>
                <c:ptCount val="1"/>
                <c:pt idx="0">
                  <c:v>Headlines without information about women's sport and/or sportswomen</c:v>
                </c:pt>
              </c:strCache>
            </c:strRef>
          </c:tx>
          <c:spPr>
            <a:solidFill>
              <a:schemeClr val="dk1">
                <a:tint val="55000"/>
              </a:schemeClr>
            </a:solidFill>
            <a:ln>
              <a:noFill/>
            </a:ln>
            <a:effectLst/>
          </c:spPr>
          <c:invertIfNegative val="0"/>
          <c:dLbls>
            <c:dLbl>
              <c:idx val="0"/>
              <c:tx>
                <c:rich>
                  <a:bodyPr/>
                  <a:lstStyle/>
                  <a:p>
                    <a:fld id="{40535159-F0CC-4D0A-A293-822854CA8C69}"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A8B-4B21-B8C5-678F666DB879}"/>
                </c:ext>
              </c:extLst>
            </c:dLbl>
            <c:dLbl>
              <c:idx val="1"/>
              <c:tx>
                <c:rich>
                  <a:bodyPr/>
                  <a:lstStyle/>
                  <a:p>
                    <a:fld id="{3B34C2AA-FBDE-47F6-82CC-24691D98675B}"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A8B-4B21-B8C5-678F666DB879}"/>
                </c:ext>
              </c:extLst>
            </c:dLbl>
            <c:dLbl>
              <c:idx val="2"/>
              <c:tx>
                <c:rich>
                  <a:bodyPr/>
                  <a:lstStyle/>
                  <a:p>
                    <a:fld id="{986C72E6-2A84-4EC4-88EF-DA7486020AD2}"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A8B-4B21-B8C5-678F666DB8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Marca</c:v>
                </c:pt>
                <c:pt idx="1">
                  <c:v>AS</c:v>
                </c:pt>
                <c:pt idx="2">
                  <c:v>Total Headlines (Marca and AS)</c:v>
                </c:pt>
              </c:strCache>
            </c:strRef>
          </c:cat>
          <c:val>
            <c:numRef>
              <c:f>Hoja1!$C$2:$C$4</c:f>
              <c:numCache>
                <c:formatCode>General</c:formatCode>
                <c:ptCount val="3"/>
                <c:pt idx="0">
                  <c:v>94</c:v>
                </c:pt>
                <c:pt idx="1">
                  <c:v>93</c:v>
                </c:pt>
                <c:pt idx="2">
                  <c:v>93</c:v>
                </c:pt>
              </c:numCache>
            </c:numRef>
          </c:val>
          <c:extLst>
            <c:ext xmlns:c16="http://schemas.microsoft.com/office/drawing/2014/chart" uri="{C3380CC4-5D6E-409C-BE32-E72D297353CC}">
              <c16:uniqueId val="{00000007-EA8B-4B21-B8C5-678F666DB879}"/>
            </c:ext>
          </c:extLst>
        </c:ser>
        <c:ser>
          <c:idx val="2"/>
          <c:order val="2"/>
          <c:tx>
            <c:strRef>
              <c:f>Hoja1!$D$1</c:f>
              <c:strCache>
                <c:ptCount val="1"/>
                <c:pt idx="0">
                  <c:v>Headlines with information about women's sport and/or sportswomen</c:v>
                </c:pt>
              </c:strCache>
            </c:strRef>
          </c:tx>
          <c:spPr>
            <a:solidFill>
              <a:schemeClr val="dk1">
                <a:tint val="75000"/>
              </a:schemeClr>
            </a:solidFill>
            <a:ln>
              <a:noFill/>
            </a:ln>
            <a:effectLst/>
          </c:spPr>
          <c:invertIfNegative val="0"/>
          <c:dLbls>
            <c:dLbl>
              <c:idx val="0"/>
              <c:tx>
                <c:rich>
                  <a:bodyPr/>
                  <a:lstStyle/>
                  <a:p>
                    <a:fld id="{F4122825-57BF-40FE-8362-15C43468E9CD}"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A8B-4B21-B8C5-678F666DB879}"/>
                </c:ext>
              </c:extLst>
            </c:dLbl>
            <c:dLbl>
              <c:idx val="1"/>
              <c:tx>
                <c:rich>
                  <a:bodyPr/>
                  <a:lstStyle/>
                  <a:p>
                    <a:fld id="{E845F3CF-6566-4013-BD22-ED20AE7E1AC5}"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A8B-4B21-B8C5-678F666DB879}"/>
                </c:ext>
              </c:extLst>
            </c:dLbl>
            <c:dLbl>
              <c:idx val="2"/>
              <c:tx>
                <c:rich>
                  <a:bodyPr/>
                  <a:lstStyle/>
                  <a:p>
                    <a:fld id="{05773C3E-7631-4755-89EF-A42FBBA5BACE}"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EA8B-4B21-B8C5-678F666DB8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Marca</c:v>
                </c:pt>
                <c:pt idx="1">
                  <c:v>AS</c:v>
                </c:pt>
                <c:pt idx="2">
                  <c:v>Total Headlines (Marca and AS)</c:v>
                </c:pt>
              </c:strCache>
            </c:strRef>
          </c:cat>
          <c:val>
            <c:numRef>
              <c:f>Hoja1!$D$2:$D$4</c:f>
              <c:numCache>
                <c:formatCode>General</c:formatCode>
                <c:ptCount val="3"/>
                <c:pt idx="0">
                  <c:v>6</c:v>
                </c:pt>
                <c:pt idx="1">
                  <c:v>7</c:v>
                </c:pt>
                <c:pt idx="2">
                  <c:v>7</c:v>
                </c:pt>
              </c:numCache>
            </c:numRef>
          </c:val>
          <c:extLst>
            <c:ext xmlns:c16="http://schemas.microsoft.com/office/drawing/2014/chart" uri="{C3380CC4-5D6E-409C-BE32-E72D297353CC}">
              <c16:uniqueId val="{0000000B-EA8B-4B21-B8C5-678F666DB879}"/>
            </c:ext>
          </c:extLst>
        </c:ser>
        <c:dLbls>
          <c:showLegendKey val="0"/>
          <c:showVal val="0"/>
          <c:showCatName val="0"/>
          <c:showSerName val="0"/>
          <c:showPercent val="0"/>
          <c:showBubbleSize val="0"/>
        </c:dLbls>
        <c:gapWidth val="219"/>
        <c:overlap val="-27"/>
        <c:axId val="1585943967"/>
        <c:axId val="1585943007"/>
      </c:barChart>
      <c:catAx>
        <c:axId val="158594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85943007"/>
        <c:crosses val="autoZero"/>
        <c:auto val="1"/>
        <c:lblAlgn val="ctr"/>
        <c:lblOffset val="100"/>
        <c:noMultiLvlLbl val="0"/>
      </c:catAx>
      <c:valAx>
        <c:axId val="1585943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85943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HQUuL8kkX2ZTaoE/bUclqIVKw==">CgMxLjAyDmguajJ2aWduZmJvaTgxMg5oLnNpaWJlMDN4bGMxNjIOaC5jenU3bnVsMm91bHQ4AHIhMTJscUtwOW94SE0wQVAtUHotWHpIVzNOaV9JUTdZMmw4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3B3272-B4D2-4BA2-A878-BC948DF9C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14</Pages>
  <Words>7902</Words>
  <Characters>42672</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MOYA</dc:creator>
  <cp:lastModifiedBy>Carlos Herold Junior</cp:lastModifiedBy>
  <cp:revision>4</cp:revision>
  <dcterms:created xsi:type="dcterms:W3CDTF">2026-06-18T14:11:00Z</dcterms:created>
  <dcterms:modified xsi:type="dcterms:W3CDTF">2026-06-18T14:54:00Z</dcterms:modified>
</cp:coreProperties>
</file>